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185"/>
      </w:tblGrid>
      <w:tr w:rsidR="003E6360" w:rsidRPr="002D6EC9" w:rsidTr="00D361B0">
        <w:tc>
          <w:tcPr>
            <w:tcW w:w="10320" w:type="dxa"/>
            <w:gridSpan w:val="2"/>
            <w:tcBorders>
              <w:top w:val="thickThinSmallGap" w:sz="24" w:space="0" w:color="auto"/>
              <w:left w:val="thickThinSmallGap" w:sz="24" w:space="0" w:color="auto"/>
              <w:right w:val="thickThinSmallGap" w:sz="24" w:space="0" w:color="auto"/>
            </w:tcBorders>
            <w:shd w:val="clear" w:color="auto" w:fill="auto"/>
            <w:vAlign w:val="center"/>
          </w:tcPr>
          <w:p w:rsidR="003E6360" w:rsidRPr="002D6EC9" w:rsidRDefault="003E6360" w:rsidP="00D361B0">
            <w:pPr>
              <w:jc w:val="center"/>
            </w:pPr>
          </w:p>
          <w:p w:rsidR="003E6360" w:rsidRPr="002E7BAF" w:rsidRDefault="003E6360" w:rsidP="00D361B0">
            <w:pPr>
              <w:jc w:val="center"/>
              <w:rPr>
                <w:b/>
              </w:rPr>
            </w:pPr>
            <w:r w:rsidRPr="002E7BAF">
              <w:rPr>
                <w:b/>
              </w:rPr>
              <w:t>OBRAZAC</w:t>
            </w:r>
          </w:p>
          <w:p w:rsidR="003E6360" w:rsidRDefault="003E6360" w:rsidP="00D361B0">
            <w:pPr>
              <w:jc w:val="center"/>
              <w:rPr>
                <w:b/>
              </w:rPr>
            </w:pPr>
            <w:r w:rsidRPr="00191F94">
              <w:rPr>
                <w:b/>
              </w:rPr>
              <w:t xml:space="preserve">sudjelovanja javnosti </w:t>
            </w:r>
            <w:r>
              <w:rPr>
                <w:b/>
              </w:rPr>
              <w:t xml:space="preserve">u internetskom savjetovanju o nacrtu prijedloga odluke </w:t>
            </w:r>
          </w:p>
          <w:p w:rsidR="003E6360" w:rsidRPr="00191F94" w:rsidRDefault="003E6360" w:rsidP="00D361B0">
            <w:pPr>
              <w:jc w:val="center"/>
              <w:rPr>
                <w:b/>
              </w:rPr>
            </w:pPr>
            <w:r>
              <w:rPr>
                <w:b/>
              </w:rPr>
              <w:t xml:space="preserve">ili drugog općeg akta </w:t>
            </w:r>
          </w:p>
          <w:p w:rsidR="003E6360" w:rsidRPr="002D6EC9" w:rsidRDefault="003E6360" w:rsidP="00D361B0">
            <w:pPr>
              <w:jc w:val="center"/>
            </w:pPr>
          </w:p>
        </w:tc>
      </w:tr>
      <w:tr w:rsidR="003E6360" w:rsidRPr="002D6EC9" w:rsidTr="00D361B0">
        <w:trPr>
          <w:trHeight w:val="481"/>
        </w:trPr>
        <w:tc>
          <w:tcPr>
            <w:tcW w:w="5135" w:type="dxa"/>
            <w:tcBorders>
              <w:left w:val="thickThinSmallGap" w:sz="24" w:space="0" w:color="auto"/>
            </w:tcBorders>
            <w:shd w:val="clear" w:color="auto" w:fill="auto"/>
            <w:vAlign w:val="center"/>
          </w:tcPr>
          <w:p w:rsidR="003E6360" w:rsidRPr="00407EE1" w:rsidRDefault="003E6360" w:rsidP="00D361B0">
            <w:pPr>
              <w:rPr>
                <w:b/>
              </w:rPr>
            </w:pPr>
            <w:r w:rsidRPr="00407EE1">
              <w:rPr>
                <w:b/>
              </w:rPr>
              <w:t xml:space="preserve">Naziv </w:t>
            </w:r>
            <w:r>
              <w:rPr>
                <w:b/>
              </w:rPr>
              <w:t xml:space="preserve">nacrta odluke ili drugog općeg </w:t>
            </w:r>
            <w:r w:rsidRPr="00407EE1">
              <w:rPr>
                <w:b/>
              </w:rPr>
              <w:t>akta o kojem se provodi savjetovanje</w:t>
            </w:r>
          </w:p>
        </w:tc>
        <w:tc>
          <w:tcPr>
            <w:tcW w:w="5185" w:type="dxa"/>
            <w:tcBorders>
              <w:right w:val="thickThinSmallGap" w:sz="24" w:space="0" w:color="auto"/>
            </w:tcBorders>
            <w:shd w:val="clear" w:color="auto" w:fill="auto"/>
            <w:vAlign w:val="center"/>
          </w:tcPr>
          <w:p w:rsidR="003E6360" w:rsidRPr="00866BB1" w:rsidRDefault="0004175E" w:rsidP="001240D4">
            <w:r w:rsidRPr="0004175E">
              <w:t>Nacrt prijedloga Odluke</w:t>
            </w:r>
            <w:r>
              <w:t xml:space="preserve"> </w:t>
            </w:r>
            <w:r w:rsidR="0061359D" w:rsidRPr="0061359D">
              <w:t>o izmjenama i dopunama Odluke o načinu pružanja javne usluge prikupljanja miješanog komunalnog otpada i biorazgradivog komunalnog otpada i usluga povezanih s javnom uslugom u Gradu Zagrebu</w:t>
            </w:r>
          </w:p>
        </w:tc>
      </w:tr>
      <w:tr w:rsidR="003E6360" w:rsidRPr="002D6EC9" w:rsidTr="00D361B0">
        <w:trPr>
          <w:trHeight w:val="410"/>
        </w:trPr>
        <w:tc>
          <w:tcPr>
            <w:tcW w:w="5135" w:type="dxa"/>
            <w:tcBorders>
              <w:left w:val="thickThinSmallGap" w:sz="24" w:space="0" w:color="auto"/>
            </w:tcBorders>
            <w:shd w:val="clear" w:color="auto" w:fill="auto"/>
            <w:vAlign w:val="center"/>
          </w:tcPr>
          <w:p w:rsidR="003E6360" w:rsidRPr="00407EE1" w:rsidRDefault="003E6360" w:rsidP="00D361B0">
            <w:pPr>
              <w:rPr>
                <w:b/>
              </w:rPr>
            </w:pPr>
            <w:r w:rsidRPr="00407EE1">
              <w:rPr>
                <w:b/>
              </w:rPr>
              <w:t>Naziv gradskog upravnog tijela nadležnog za izradu nacrta</w:t>
            </w:r>
            <w:r>
              <w:rPr>
                <w:b/>
              </w:rPr>
              <w:t xml:space="preserve"> </w:t>
            </w:r>
          </w:p>
        </w:tc>
        <w:tc>
          <w:tcPr>
            <w:tcW w:w="5185" w:type="dxa"/>
            <w:tcBorders>
              <w:right w:val="thickThinSmallGap" w:sz="24" w:space="0" w:color="auto"/>
            </w:tcBorders>
            <w:shd w:val="clear" w:color="auto" w:fill="auto"/>
            <w:vAlign w:val="center"/>
          </w:tcPr>
          <w:p w:rsidR="003E6360" w:rsidRPr="00D30CA2" w:rsidRDefault="003E6360" w:rsidP="0004175E">
            <w:pPr>
              <w:jc w:val="center"/>
              <w:rPr>
                <w:b/>
              </w:rPr>
            </w:pPr>
            <w:r>
              <w:rPr>
                <w:b/>
              </w:rPr>
              <w:t xml:space="preserve">Gradski ured za </w:t>
            </w:r>
            <w:r w:rsidR="0004175E">
              <w:rPr>
                <w:b/>
              </w:rPr>
              <w:t>energetiku zaštitu okoliša i održivo gospodarenje otpadom</w:t>
            </w:r>
          </w:p>
        </w:tc>
      </w:tr>
      <w:tr w:rsidR="003E6360" w:rsidRPr="002D6EC9" w:rsidTr="00F825C2">
        <w:trPr>
          <w:trHeight w:val="8210"/>
        </w:trPr>
        <w:tc>
          <w:tcPr>
            <w:tcW w:w="5135" w:type="dxa"/>
            <w:tcBorders>
              <w:left w:val="thickThinSmallGap" w:sz="24" w:space="0" w:color="auto"/>
            </w:tcBorders>
            <w:shd w:val="clear" w:color="auto" w:fill="auto"/>
            <w:vAlign w:val="center"/>
          </w:tcPr>
          <w:p w:rsidR="003E6360" w:rsidRPr="00D22C35" w:rsidRDefault="003E6360" w:rsidP="00D361B0">
            <w:pPr>
              <w:rPr>
                <w:b/>
              </w:rPr>
            </w:pPr>
            <w:r w:rsidRPr="007729B4">
              <w:rPr>
                <w:b/>
              </w:rPr>
              <w:t>Obrazloženje razloga i ciljeva koji se žele postići donošenjem akta</w:t>
            </w:r>
            <w:r w:rsidRPr="00D22C35">
              <w:rPr>
                <w:b/>
              </w:rPr>
              <w:t xml:space="preserve"> </w:t>
            </w:r>
          </w:p>
        </w:tc>
        <w:tc>
          <w:tcPr>
            <w:tcW w:w="5185" w:type="dxa"/>
            <w:tcBorders>
              <w:right w:val="thickThinSmallGap" w:sz="24" w:space="0" w:color="auto"/>
            </w:tcBorders>
            <w:shd w:val="clear" w:color="auto" w:fill="auto"/>
            <w:vAlign w:val="center"/>
          </w:tcPr>
          <w:p w:rsidR="0004175E" w:rsidRDefault="0004175E" w:rsidP="0004175E">
            <w:pPr>
              <w:pStyle w:val="t-9-8"/>
              <w:spacing w:before="0" w:beforeAutospacing="0" w:after="0" w:afterAutospacing="0"/>
              <w:ind w:left="21" w:right="126"/>
              <w:jc w:val="both"/>
              <w:rPr>
                <w:color w:val="000000"/>
              </w:rPr>
            </w:pPr>
            <w:r>
              <w:rPr>
                <w:color w:val="000000"/>
              </w:rPr>
              <w:t xml:space="preserve">Člankom </w:t>
            </w:r>
            <w:r w:rsidRPr="00E32238">
              <w:rPr>
                <w:color w:val="000000"/>
              </w:rPr>
              <w:t>28. stavk</w:t>
            </w:r>
            <w:r>
              <w:rPr>
                <w:color w:val="000000"/>
              </w:rPr>
              <w:t>om</w:t>
            </w:r>
            <w:r w:rsidRPr="00E32238">
              <w:rPr>
                <w:color w:val="000000"/>
              </w:rPr>
              <w:t xml:space="preserve"> 1. Zakona o održivom gospodare</w:t>
            </w:r>
            <w:r w:rsidR="00BE2868">
              <w:rPr>
                <w:color w:val="000000"/>
              </w:rPr>
              <w:t>nju otpadom (Narodne novine, broj</w:t>
            </w:r>
            <w:r w:rsidRPr="00E32238">
              <w:rPr>
                <w:color w:val="000000"/>
              </w:rPr>
              <w:t xml:space="preserve"> </w:t>
            </w:r>
            <w:r w:rsidR="0061359D" w:rsidRPr="0061359D">
              <w:rPr>
                <w:color w:val="000000"/>
              </w:rPr>
              <w:t>94/13, 73/17, 14/19 i 98/19</w:t>
            </w:r>
            <w:r w:rsidRPr="00E32238">
              <w:rPr>
                <w:color w:val="000000"/>
              </w:rPr>
              <w:t xml:space="preserve">) </w:t>
            </w:r>
            <w:r>
              <w:rPr>
                <w:color w:val="000000"/>
              </w:rPr>
              <w:t xml:space="preserve">propisano je da je </w:t>
            </w:r>
            <w:r w:rsidRPr="00E32238">
              <w:rPr>
                <w:color w:val="000000"/>
              </w:rPr>
              <w:t>je</w:t>
            </w:r>
            <w:r>
              <w:rPr>
                <w:color w:val="000000"/>
              </w:rPr>
              <w:t>dinica lokalne samouprave dužna</w:t>
            </w:r>
            <w:r w:rsidRPr="00E32238">
              <w:rPr>
                <w:color w:val="000000"/>
              </w:rPr>
              <w:t xml:space="preserve">, između ostalog, na svom području osigurati </w:t>
            </w:r>
            <w:r w:rsidR="0061359D">
              <w:rPr>
                <w:color w:val="000000"/>
              </w:rPr>
              <w:t>obavljanje  javne usluge</w:t>
            </w:r>
            <w:r w:rsidRPr="00E32238">
              <w:rPr>
                <w:color w:val="000000"/>
              </w:rPr>
              <w:t xml:space="preserve"> prikupljanja miješanog komunalnog otpada, i biorazgradivog komunalnog otpada</w:t>
            </w:r>
            <w:r w:rsidR="00606AB9">
              <w:rPr>
                <w:color w:val="000000"/>
              </w:rPr>
              <w:t xml:space="preserve"> i usluge povezane sa javnom uslugom na način propisan navedenim Zakonom te uredbom iz članka 29. stavka 10. istoga Zakona,</w:t>
            </w:r>
            <w:r w:rsidRPr="00E32238">
              <w:rPr>
                <w:color w:val="000000"/>
              </w:rPr>
              <w:t xml:space="preserve"> </w:t>
            </w:r>
            <w:r>
              <w:rPr>
                <w:color w:val="000000"/>
              </w:rPr>
              <w:t xml:space="preserve"> </w:t>
            </w:r>
            <w:r w:rsidR="00807837">
              <w:rPr>
                <w:color w:val="000000"/>
              </w:rPr>
              <w:t xml:space="preserve">a </w:t>
            </w:r>
            <w:r>
              <w:rPr>
                <w:color w:val="000000"/>
              </w:rPr>
              <w:t>člankom 3</w:t>
            </w:r>
            <w:r w:rsidRPr="00E32238">
              <w:rPr>
                <w:color w:val="000000"/>
              </w:rPr>
              <w:t>0. stavk</w:t>
            </w:r>
            <w:r>
              <w:rPr>
                <w:color w:val="000000"/>
              </w:rPr>
              <w:t xml:space="preserve">om </w:t>
            </w:r>
            <w:r w:rsidRPr="00E32238">
              <w:rPr>
                <w:color w:val="000000"/>
              </w:rPr>
              <w:t xml:space="preserve">7. istoga Zakona </w:t>
            </w:r>
            <w:r>
              <w:rPr>
                <w:color w:val="000000"/>
              </w:rPr>
              <w:t xml:space="preserve">propisano je da </w:t>
            </w:r>
            <w:r w:rsidRPr="00E32238">
              <w:rPr>
                <w:color w:val="000000"/>
              </w:rPr>
              <w:t>predstavničko tijelo jedinice lokalne samouprave donosi</w:t>
            </w:r>
            <w:r w:rsidR="009322CE">
              <w:rPr>
                <w:color w:val="000000"/>
              </w:rPr>
              <w:t xml:space="preserve"> odluku o načinu pružanja javne usluge</w:t>
            </w:r>
            <w:r w:rsidRPr="00E32238">
              <w:rPr>
                <w:color w:val="000000"/>
              </w:rPr>
              <w:t xml:space="preserve"> prikupljanja miješanog komunalnog otpada i prikupljanja biorazgradivog komunalnog otpada </w:t>
            </w:r>
            <w:r w:rsidR="009322CE">
              <w:rPr>
                <w:color w:val="000000"/>
              </w:rPr>
              <w:t xml:space="preserve">koja </w:t>
            </w:r>
            <w:r w:rsidRPr="00E32238">
              <w:rPr>
                <w:color w:val="000000"/>
              </w:rPr>
              <w:t>podrazumijeva prikupljanje tog otpada na određenom području pružanja usluge putem spremnika od pojedinih korisnika i prijevoz tog otpada do ovlaštene osobe za obradu tog otpad</w:t>
            </w:r>
            <w:r>
              <w:rPr>
                <w:color w:val="000000"/>
              </w:rPr>
              <w:t>a</w:t>
            </w:r>
            <w:r w:rsidRPr="00E32238">
              <w:rPr>
                <w:color w:val="000000"/>
              </w:rPr>
              <w:t xml:space="preserve">. </w:t>
            </w:r>
          </w:p>
          <w:p w:rsidR="0061359D" w:rsidRDefault="0061359D" w:rsidP="0004175E">
            <w:pPr>
              <w:pStyle w:val="t-9-8"/>
              <w:spacing w:before="0" w:beforeAutospacing="0" w:after="0" w:afterAutospacing="0"/>
              <w:ind w:left="21" w:right="126"/>
              <w:jc w:val="both"/>
              <w:rPr>
                <w:color w:val="000000"/>
              </w:rPr>
            </w:pPr>
            <w:r>
              <w:rPr>
                <w:color w:val="000000"/>
              </w:rPr>
              <w:t>Sukladno Uredbi o gospodarenju komunalnim otpadom (Narodne novine, broj 50/17) Grad Zagreb je donio Odluku o načinu pružanja javne usluge prikupljanja miješanog komunalnog otpada i biorazgradivog komunalnog otpada i usluga povezanih s javnom uslugom u Gradu Zagrebu koja je objavljena u Službenom glasniku Grada Zagreba broj 2/2018.</w:t>
            </w:r>
          </w:p>
          <w:p w:rsidR="0061359D" w:rsidRPr="00E32238" w:rsidRDefault="0061359D" w:rsidP="0004175E">
            <w:pPr>
              <w:pStyle w:val="t-9-8"/>
              <w:spacing w:before="0" w:beforeAutospacing="0" w:after="0" w:afterAutospacing="0"/>
              <w:ind w:left="21" w:right="126"/>
              <w:jc w:val="both"/>
              <w:rPr>
                <w:color w:val="000000"/>
              </w:rPr>
            </w:pPr>
            <w:r>
              <w:rPr>
                <w:color w:val="000000"/>
              </w:rPr>
              <w:t>Dana 14. rujna 2019. godine na snagu je stupila Uredba o izmjenama i dopunama uredbe o gospodarenju komunalnim otpadom (Narodne novine, broj 84/2019), koja je člankom 11. propisala kako su jedinice lokalne samouprave dužne uskladiti Odluke o načinu pružanja javne usluge prikupljanja miješanog komunalnog otpada i biorazgradivog komunalnog otpada u roku od tri mjeseca od dana stupanja na snagu navedene Uredbe.</w:t>
            </w:r>
          </w:p>
          <w:p w:rsidR="0004175E" w:rsidRDefault="0004175E" w:rsidP="0004175E">
            <w:pPr>
              <w:pStyle w:val="t-9-8"/>
              <w:spacing w:before="0" w:beforeAutospacing="0" w:after="0" w:afterAutospacing="0"/>
              <w:ind w:left="21" w:right="126"/>
              <w:jc w:val="both"/>
              <w:rPr>
                <w:bCs/>
              </w:rPr>
            </w:pPr>
          </w:p>
          <w:p w:rsidR="00FC2DD3" w:rsidRDefault="00606AB9" w:rsidP="00922D5F">
            <w:pPr>
              <w:adjustRightInd w:val="0"/>
              <w:jc w:val="both"/>
              <w:rPr>
                <w:color w:val="000000" w:themeColor="text1"/>
              </w:rPr>
            </w:pPr>
            <w:r>
              <w:lastRenderedPageBreak/>
              <w:t xml:space="preserve">Predloženim izmjenama i dopunama Odluke usklađuju se odredbe Odluke o načinu pružanja javne usluge prikupljanja miješanog komunalnog otpada i biorazgradivog komunalnog otpada i usluga povezanih s javnom uslugom u Gradu Zagrebu, Službeni glasnik Grada Zagreba, broj 2/2018 sa </w:t>
            </w:r>
            <w:r w:rsidR="00EE1929">
              <w:t xml:space="preserve">Uredbom o izmjenama i dopunama uredbe o gospodarenju komunalnim otpadom (Narodne novine, broj 84/2019) osobito što se tiče odredbi o razvrstavanju korisnika javne usluge prikupljanja miješanog komunalnog otpada i prikupljanja biorazgradivog komunalnog otpada u kategorije korisnika kućanstvo i korisnika koji nije kućanstvo, s pripadajućim potkategorijama, </w:t>
            </w:r>
            <w:r w:rsidR="00BE2868">
              <w:t xml:space="preserve">propisuje se primjereni volumen spremnika, način predlaganja primjerenog volumena spremnika, odredbe o načinu odlaganja </w:t>
            </w:r>
            <w:proofErr w:type="spellStart"/>
            <w:r w:rsidR="00BE2868">
              <w:t>biootpada</w:t>
            </w:r>
            <w:proofErr w:type="spellEnd"/>
            <w:r w:rsidR="00BE2868">
              <w:t xml:space="preserve"> u </w:t>
            </w:r>
            <w:proofErr w:type="spellStart"/>
            <w:r w:rsidR="00BE2868">
              <w:t>višestambenim</w:t>
            </w:r>
            <w:proofErr w:type="spellEnd"/>
            <w:r w:rsidR="00BE2868">
              <w:t xml:space="preserve"> objektima, odredbe o broju odvoza krupnog (glomaznog ),  </w:t>
            </w:r>
            <w:r w:rsidR="00EE1929">
              <w:t xml:space="preserve">zatim s propisuju odredbe o načinu izračuna i određivanju, te iznos cijene obvezne minimalne javne usluge za korisnike javne usluge razvrstane u kategoriju korisnika kućanstvo i potkategorije korisnika koji nisu kućanstvo, te u svezi sa tim i iznosi ugovornih kazni koje su propisane najviše do iznosa godišnje cijene obvezne minimalne javne usluge za kategorije korisnika usluge u koju je korisnik razvrstan. </w:t>
            </w:r>
            <w:r w:rsidR="003B4365">
              <w:t>Nadalje</w:t>
            </w:r>
            <w:r w:rsidR="00EE1929">
              <w:t xml:space="preserve">, predloženim izmjenama i dopunama Odluke </w:t>
            </w:r>
            <w:r w:rsidR="003B4365">
              <w:t xml:space="preserve">usklađene </w:t>
            </w:r>
            <w:r w:rsidR="00EE1929">
              <w:t>su</w:t>
            </w:r>
            <w:r w:rsidR="003B4365">
              <w:t xml:space="preserve"> i</w:t>
            </w:r>
            <w:r w:rsidR="00EE1929">
              <w:t xml:space="preserve"> pojedine </w:t>
            </w:r>
            <w:r w:rsidR="003B4365">
              <w:t>odredbe Odluke o načinu pružanja javne usluge prikupljanja miješanog komunalnog otpada i biorazgradivog komunalnog otpada i usluga povezanih s javnom uslugom u Gradu Zagrebu, Službeni glasnik Grada Zagreba, broj 2/2018 za koje se u primjeni navedene Odl</w:t>
            </w:r>
            <w:r w:rsidR="00BE2868">
              <w:t xml:space="preserve">uke pokazalo da su neprovedive u praksi, te se vrši </w:t>
            </w:r>
            <w:proofErr w:type="spellStart"/>
            <w:r w:rsidR="00BE2868">
              <w:t>nomotehničko</w:t>
            </w:r>
            <w:proofErr w:type="spellEnd"/>
            <w:r w:rsidR="00BE2868">
              <w:t xml:space="preserve"> usklađenje pojedinih odredbi u skladu sa izmjenama i dopunama Uredbe te  preciznije određenje pojedinih odredbi navedene Odluke. </w:t>
            </w:r>
            <w:r w:rsidR="003B4365">
              <w:t>Također, predložena Odluka o  izmjenama i dopunama</w:t>
            </w:r>
            <w:r w:rsidR="00FC2DD3">
              <w:t xml:space="preserve"> odluke</w:t>
            </w:r>
            <w:r w:rsidR="003B4365">
              <w:t xml:space="preserve"> o načinu pružanja javne usluge prikupljanja miješanog komunalnog otpada i biorazgradivog komunalnog otpada i usluga povezanih s javnom uslugom u Gradu Zagrebu</w:t>
            </w:r>
            <w:r w:rsidR="003B4365">
              <w:rPr>
                <w:color w:val="000000" w:themeColor="text1"/>
              </w:rPr>
              <w:t xml:space="preserve"> </w:t>
            </w:r>
            <w:r w:rsidR="00351B8B">
              <w:rPr>
                <w:color w:val="000000" w:themeColor="text1"/>
              </w:rPr>
              <w:t>sadrži</w:t>
            </w:r>
            <w:r w:rsidR="00BD087E">
              <w:rPr>
                <w:color w:val="000000" w:themeColor="text1"/>
              </w:rPr>
              <w:t xml:space="preserve"> i</w:t>
            </w:r>
            <w:r w:rsidR="00FC2DD3">
              <w:rPr>
                <w:color w:val="000000" w:themeColor="text1"/>
              </w:rPr>
              <w:t xml:space="preserve"> novi </w:t>
            </w:r>
            <w:r w:rsidR="005F46AE">
              <w:rPr>
                <w:color w:val="000000" w:themeColor="text1"/>
              </w:rPr>
              <w:t xml:space="preserve">popis adresa </w:t>
            </w:r>
            <w:proofErr w:type="spellStart"/>
            <w:r w:rsidR="005F46AE">
              <w:rPr>
                <w:color w:val="000000" w:themeColor="text1"/>
              </w:rPr>
              <w:t>reciklažnih</w:t>
            </w:r>
            <w:proofErr w:type="spellEnd"/>
            <w:r w:rsidR="005F46AE">
              <w:rPr>
                <w:color w:val="000000" w:themeColor="text1"/>
              </w:rPr>
              <w:t xml:space="preserve"> dvorišta i naselja na području na kojima je uspostavljeno reciklažno dvorište</w:t>
            </w:r>
            <w:r w:rsidR="00FC2DD3">
              <w:rPr>
                <w:color w:val="000000" w:themeColor="text1"/>
              </w:rPr>
              <w:t>, te popis potkategorija korisnika koji nisu kućanstva prema djelatnostima.</w:t>
            </w:r>
          </w:p>
          <w:p w:rsidR="003E6360" w:rsidRPr="00D22C35" w:rsidRDefault="00A5026B" w:rsidP="00FC2DD3">
            <w:pPr>
              <w:pStyle w:val="StandardWeb"/>
              <w:shd w:val="clear" w:color="auto" w:fill="FFFFFF"/>
              <w:spacing w:before="375" w:beforeAutospacing="0" w:after="0" w:afterAutospacing="0"/>
              <w:jc w:val="both"/>
              <w:rPr>
                <w:b/>
              </w:rPr>
            </w:pPr>
            <w:r>
              <w:rPr>
                <w:color w:val="000000"/>
              </w:rPr>
              <w:t xml:space="preserve">Obzirom </w:t>
            </w:r>
            <w:r w:rsidR="00BD087E">
              <w:rPr>
                <w:color w:val="000000"/>
              </w:rPr>
              <w:t xml:space="preserve">se </w:t>
            </w:r>
            <w:r w:rsidR="00FC2DD3">
              <w:rPr>
                <w:color w:val="000000"/>
              </w:rPr>
              <w:t>navedenim izmjenama i dopunama Odluke</w:t>
            </w:r>
            <w:r w:rsidR="00BD087E">
              <w:rPr>
                <w:color w:val="000000"/>
              </w:rPr>
              <w:t xml:space="preserve"> propisuju odredbe kojima se uređuje pružanje javne usluge koja je usluga od općeg interesa, </w:t>
            </w:r>
            <w:r w:rsidR="00954470">
              <w:rPr>
                <w:color w:val="000000"/>
              </w:rPr>
              <w:t>propisuju se</w:t>
            </w:r>
            <w:r w:rsidR="00BD087E">
              <w:rPr>
                <w:color w:val="000000"/>
              </w:rPr>
              <w:t xml:space="preserve"> prava i obveze</w:t>
            </w:r>
            <w:r>
              <w:rPr>
                <w:color w:val="000000"/>
              </w:rPr>
              <w:t xml:space="preserve"> </w:t>
            </w:r>
            <w:r w:rsidR="00BD087E">
              <w:rPr>
                <w:color w:val="000000"/>
              </w:rPr>
              <w:t xml:space="preserve">korisnika </w:t>
            </w:r>
            <w:r w:rsidR="00BD087E">
              <w:rPr>
                <w:color w:val="000000"/>
              </w:rPr>
              <w:lastRenderedPageBreak/>
              <w:t xml:space="preserve">usluga, </w:t>
            </w:r>
            <w:r w:rsidR="00954470">
              <w:rPr>
                <w:color w:val="000000"/>
              </w:rPr>
              <w:t>te</w:t>
            </w:r>
            <w:r w:rsidR="00BD087E">
              <w:rPr>
                <w:color w:val="000000"/>
              </w:rPr>
              <w:t xml:space="preserve"> se uređuju pitanja koja su od </w:t>
            </w:r>
            <w:r w:rsidRPr="00983821">
              <w:rPr>
                <w:color w:val="000000"/>
              </w:rPr>
              <w:t xml:space="preserve"> interesa za opću dobrobit građana i pravnih osoba na području Grada Zagreba</w:t>
            </w:r>
            <w:r>
              <w:rPr>
                <w:color w:val="000000"/>
              </w:rPr>
              <w:t>, s</w:t>
            </w:r>
            <w:r w:rsidRPr="00983821">
              <w:rPr>
                <w:color w:val="000000"/>
              </w:rPr>
              <w:t xml:space="preserve">avjetovanje i uključivanje javnosti u postupak donošenja provodi se u svrhu prikupljanja informacija o interesima, stavovima i prijedlozima </w:t>
            </w:r>
            <w:r>
              <w:rPr>
                <w:color w:val="000000"/>
              </w:rPr>
              <w:t>javnosti.</w:t>
            </w:r>
          </w:p>
        </w:tc>
      </w:tr>
      <w:tr w:rsidR="003E6360" w:rsidRPr="002D6EC9" w:rsidTr="00D361B0">
        <w:trPr>
          <w:trHeight w:val="756"/>
        </w:trPr>
        <w:tc>
          <w:tcPr>
            <w:tcW w:w="10320" w:type="dxa"/>
            <w:gridSpan w:val="2"/>
            <w:tcBorders>
              <w:left w:val="thickThinSmallGap" w:sz="24" w:space="0" w:color="auto"/>
              <w:bottom w:val="thickThinSmallGap" w:sz="24" w:space="0" w:color="auto"/>
              <w:right w:val="thickThinSmallGap" w:sz="24" w:space="0" w:color="auto"/>
            </w:tcBorders>
            <w:shd w:val="clear" w:color="auto" w:fill="auto"/>
            <w:vAlign w:val="center"/>
          </w:tcPr>
          <w:p w:rsidR="003E6360" w:rsidRDefault="003E6360" w:rsidP="00D361B0">
            <w:pPr>
              <w:jc w:val="center"/>
              <w:rPr>
                <w:b/>
              </w:rPr>
            </w:pPr>
            <w:r w:rsidRPr="00D22C35">
              <w:rPr>
                <w:b/>
              </w:rPr>
              <w:lastRenderedPageBreak/>
              <w:t>Razdoblje internetskog savjetovanja</w:t>
            </w:r>
          </w:p>
          <w:p w:rsidR="00DB1E84" w:rsidRPr="00D22C35" w:rsidRDefault="003E6360" w:rsidP="00D361B0">
            <w:pPr>
              <w:jc w:val="center"/>
              <w:rPr>
                <w:b/>
              </w:rPr>
            </w:pPr>
            <w:r w:rsidRPr="00064FB6">
              <w:rPr>
                <w:b/>
              </w:rPr>
              <w:t xml:space="preserve">od </w:t>
            </w:r>
            <w:r w:rsidR="00FC2DD3">
              <w:rPr>
                <w:b/>
              </w:rPr>
              <w:t>08</w:t>
            </w:r>
            <w:r w:rsidR="008123C4">
              <w:rPr>
                <w:b/>
              </w:rPr>
              <w:t>.</w:t>
            </w:r>
            <w:r w:rsidR="00DB1E84" w:rsidRPr="00064FB6">
              <w:rPr>
                <w:b/>
              </w:rPr>
              <w:t xml:space="preserve"> </w:t>
            </w:r>
            <w:r w:rsidR="00064FB6" w:rsidRPr="00064FB6">
              <w:rPr>
                <w:b/>
              </w:rPr>
              <w:t>studenoga</w:t>
            </w:r>
            <w:r w:rsidRPr="00064FB6">
              <w:rPr>
                <w:b/>
              </w:rPr>
              <w:t xml:space="preserve"> do </w:t>
            </w:r>
            <w:r w:rsidR="00FC2DD3">
              <w:rPr>
                <w:b/>
              </w:rPr>
              <w:t>08</w:t>
            </w:r>
            <w:r w:rsidR="008123C4">
              <w:rPr>
                <w:b/>
              </w:rPr>
              <w:t>.</w:t>
            </w:r>
            <w:r w:rsidR="00064FB6" w:rsidRPr="00064FB6">
              <w:rPr>
                <w:b/>
              </w:rPr>
              <w:t xml:space="preserve"> prosinca</w:t>
            </w:r>
            <w:r w:rsidR="00FC2DD3">
              <w:rPr>
                <w:b/>
              </w:rPr>
              <w:t xml:space="preserve"> 2019</w:t>
            </w:r>
            <w:r w:rsidRPr="00064FB6">
              <w:rPr>
                <w:b/>
              </w:rPr>
              <w:t>.</w:t>
            </w:r>
          </w:p>
          <w:p w:rsidR="003E6360" w:rsidRDefault="003E6360" w:rsidP="00D361B0">
            <w:pPr>
              <w:jc w:val="center"/>
              <w:rPr>
                <w:b/>
                <w:i/>
              </w:rPr>
            </w:pPr>
            <w:r w:rsidRPr="00D22C35">
              <w:rPr>
                <w:b/>
                <w:i/>
              </w:rPr>
              <w:t>(</w:t>
            </w:r>
            <w:r w:rsidRPr="00D22C35">
              <w:rPr>
                <w:b/>
                <w:i/>
                <w:u w:val="single"/>
              </w:rPr>
              <w:t>početak i završetak</w:t>
            </w:r>
            <w:r w:rsidRPr="00D22C35">
              <w:rPr>
                <w:b/>
                <w:i/>
              </w:rPr>
              <w:t>)</w:t>
            </w:r>
          </w:p>
          <w:p w:rsidR="00DB1E84" w:rsidRDefault="00DB1E84" w:rsidP="00D361B0">
            <w:pPr>
              <w:jc w:val="center"/>
              <w:rPr>
                <w:b/>
                <w:i/>
              </w:rPr>
            </w:pPr>
          </w:p>
          <w:p w:rsidR="00A5026B" w:rsidRPr="00D22C35" w:rsidRDefault="00A5026B" w:rsidP="00D361B0">
            <w:pPr>
              <w:jc w:val="center"/>
              <w:rPr>
                <w:b/>
                <w:i/>
              </w:rPr>
            </w:pPr>
          </w:p>
        </w:tc>
      </w:tr>
      <w:tr w:rsidR="003E6360" w:rsidRPr="002D6EC9" w:rsidTr="00D361B0">
        <w:trPr>
          <w:trHeight w:val="1090"/>
        </w:trPr>
        <w:tc>
          <w:tcPr>
            <w:tcW w:w="5135" w:type="dxa"/>
            <w:tcBorders>
              <w:top w:val="thickThinSmallGap" w:sz="24" w:space="0" w:color="auto"/>
              <w:left w:val="thickThinSmallGap" w:sz="24" w:space="0" w:color="auto"/>
            </w:tcBorders>
            <w:vAlign w:val="center"/>
          </w:tcPr>
          <w:p w:rsidR="003E6360" w:rsidRPr="002D6EC9" w:rsidRDefault="003E6360" w:rsidP="00D361B0">
            <w:r>
              <w:t>Ime i prezime osobe odnosno n</w:t>
            </w:r>
            <w:r w:rsidRPr="002D6EC9">
              <w:t>aziv predstavn</w:t>
            </w:r>
            <w:r>
              <w:t xml:space="preserve">ika </w:t>
            </w:r>
            <w:r w:rsidRPr="000F1899">
              <w:t>zainteresirane</w:t>
            </w:r>
            <w:r>
              <w:t xml:space="preserve"> javnosti koja</w:t>
            </w:r>
            <w:r w:rsidRPr="002D6EC9">
              <w:t xml:space="preserve"> daje svoje primjedbe i prijedloge na predloženi nacrt</w:t>
            </w:r>
          </w:p>
        </w:tc>
        <w:tc>
          <w:tcPr>
            <w:tcW w:w="5185" w:type="dxa"/>
            <w:tcBorders>
              <w:top w:val="thickThinSmallGap" w:sz="24" w:space="0" w:color="auto"/>
              <w:right w:val="thickThinSmallGap" w:sz="24" w:space="0" w:color="auto"/>
            </w:tcBorders>
            <w:vAlign w:val="center"/>
          </w:tcPr>
          <w:p w:rsidR="003E6360" w:rsidRPr="002D6EC9" w:rsidRDefault="003E6360" w:rsidP="00D361B0"/>
        </w:tc>
      </w:tr>
      <w:tr w:rsidR="003E6360" w:rsidRPr="002D6EC9" w:rsidTr="00D361B0">
        <w:trPr>
          <w:trHeight w:val="689"/>
        </w:trPr>
        <w:tc>
          <w:tcPr>
            <w:tcW w:w="5135" w:type="dxa"/>
            <w:tcBorders>
              <w:left w:val="thickThinSmallGap" w:sz="24" w:space="0" w:color="auto"/>
            </w:tcBorders>
            <w:vAlign w:val="center"/>
          </w:tcPr>
          <w:p w:rsidR="003E6360" w:rsidRPr="002D6EC9" w:rsidRDefault="003E6360" w:rsidP="00D361B0">
            <w:r w:rsidRPr="002D6EC9">
              <w:t>Interes, odnosno kategorija i brojnost korisnika koje predstavljate</w:t>
            </w:r>
          </w:p>
        </w:tc>
        <w:tc>
          <w:tcPr>
            <w:tcW w:w="5185" w:type="dxa"/>
            <w:tcBorders>
              <w:right w:val="thickThinSmallGap" w:sz="24" w:space="0" w:color="auto"/>
            </w:tcBorders>
            <w:vAlign w:val="center"/>
          </w:tcPr>
          <w:p w:rsidR="003E6360" w:rsidRPr="002D6EC9" w:rsidRDefault="003E6360" w:rsidP="00D361B0"/>
        </w:tc>
      </w:tr>
      <w:tr w:rsidR="003E6360" w:rsidRPr="002D6EC9" w:rsidTr="00D361B0">
        <w:trPr>
          <w:trHeight w:val="544"/>
        </w:trPr>
        <w:tc>
          <w:tcPr>
            <w:tcW w:w="5135" w:type="dxa"/>
            <w:tcBorders>
              <w:left w:val="thickThinSmallGap" w:sz="24" w:space="0" w:color="auto"/>
            </w:tcBorders>
            <w:vAlign w:val="center"/>
          </w:tcPr>
          <w:p w:rsidR="003E6360" w:rsidRPr="002D6EC9" w:rsidRDefault="003E6360" w:rsidP="00D361B0">
            <w:r w:rsidRPr="002D6EC9">
              <w:t>Načelne primjedbe</w:t>
            </w:r>
            <w:r>
              <w:t xml:space="preserve"> i prijedlozi na predloženi nacrt akta s obrazloženjem</w:t>
            </w:r>
          </w:p>
        </w:tc>
        <w:tc>
          <w:tcPr>
            <w:tcW w:w="5185" w:type="dxa"/>
            <w:tcBorders>
              <w:right w:val="thickThinSmallGap" w:sz="24" w:space="0" w:color="auto"/>
            </w:tcBorders>
            <w:vAlign w:val="center"/>
          </w:tcPr>
          <w:p w:rsidR="003E6360" w:rsidRDefault="003E6360" w:rsidP="00D361B0"/>
          <w:p w:rsidR="005B0212" w:rsidRPr="00A921AE" w:rsidRDefault="005B0212" w:rsidP="005B0212">
            <w:pPr>
              <w:ind w:firstLine="708"/>
              <w:jc w:val="both"/>
              <w:rPr>
                <w:b/>
              </w:rPr>
            </w:pPr>
            <w:r w:rsidRPr="00A921AE">
              <w:rPr>
                <w:b/>
              </w:rPr>
              <w:t>Već kada se donosila postojeća Odluka reagirali smo komentarima da je ona manjkava te će uzrokovati kaos u prikupljanju otpada i neće donijeti pravedne cijene mjesečnih računa, što se pokazalo točnim i e</w:t>
            </w:r>
            <w:r w:rsidR="003B3BDE" w:rsidRPr="00A921AE">
              <w:rPr>
                <w:b/>
              </w:rPr>
              <w:t>skaliralo posebice u proteklih godinu dana</w:t>
            </w:r>
            <w:r w:rsidRPr="00A921AE">
              <w:rPr>
                <w:b/>
              </w:rPr>
              <w:t xml:space="preserve">. </w:t>
            </w:r>
            <w:r w:rsidRPr="00A921AE">
              <w:rPr>
                <w:b/>
                <w:shd w:val="clear" w:color="auto" w:fill="FFFFFF"/>
              </w:rPr>
              <w:t xml:space="preserve">U sustavu kanti na javnim površinama bez kontrole i redovitog odvoza, s naplatom koja ne poštuje zakonsko načelo 'plati koliko baciš', najviše su kažnjeni oni </w:t>
            </w:r>
            <w:r w:rsidRPr="00A921AE">
              <w:rPr>
                <w:b/>
                <w:shd w:val="clear" w:color="auto" w:fill="FFFFFF"/>
              </w:rPr>
              <w:lastRenderedPageBreak/>
              <w:t xml:space="preserve">koji se trude odvajati i reciklirati. Prema službenim podacima Ministarstva okoliša za 2018. godinu Zagreb reciklira svega </w:t>
            </w:r>
            <w:r w:rsidR="003B3BDE" w:rsidRPr="00A921AE">
              <w:rPr>
                <w:b/>
                <w:shd w:val="clear" w:color="auto" w:fill="FFFFFF"/>
              </w:rPr>
              <w:t>10% komunalnog</w:t>
            </w:r>
            <w:r w:rsidRPr="00A921AE">
              <w:rPr>
                <w:b/>
                <w:shd w:val="clear" w:color="auto" w:fill="FFFFFF"/>
              </w:rPr>
              <w:t xml:space="preserve"> otpada, a ima cilj od 50% do 2020. godine, što je ovakvim sustavom nedostižno te ga je potrebno temeljito promijeniti. Ove i</w:t>
            </w:r>
            <w:r w:rsidRPr="00A921AE">
              <w:rPr>
                <w:b/>
              </w:rPr>
              <w:t>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w:t>
            </w:r>
            <w:r w:rsidR="003B3BDE" w:rsidRPr="00A921AE">
              <w:rPr>
                <w:b/>
              </w:rPr>
              <w:t xml:space="preserve"> </w:t>
            </w:r>
            <w:r w:rsidRPr="00A921AE">
              <w:rPr>
                <w:b/>
              </w:rPr>
              <w:t xml:space="preserve">tj. po mogućnost građana da kroz varijabilni dio utječu na svoje račune. Predložena naplata je nepravedan udar na džepove građana i građanki te od njega treba odustati, a Odluku temeljito revidirati i izmijeniti kako bi se sustav odvojenog prikupljanja unaprijedio.  </w:t>
            </w:r>
          </w:p>
          <w:p w:rsidR="005B0212" w:rsidRPr="00A921AE" w:rsidRDefault="005B0212" w:rsidP="005B0212">
            <w:pPr>
              <w:ind w:firstLine="708"/>
              <w:jc w:val="both"/>
              <w:rPr>
                <w:b/>
                <w:color w:val="FF0000"/>
              </w:rPr>
            </w:pPr>
            <w:r w:rsidRPr="00A921AE">
              <w:rPr>
                <w:b/>
              </w:rPr>
              <w:t>Ove izmjene neće doprinijeti nikakve pomake, nego degradirati već ionako lošu Odluku. Odluku je potrebno u cijelosti preispitati i uskladiti sa zakonskim načelima kao što su „odvojeno prikupljanje na kućnom pragu pod kontrolom“, „</w:t>
            </w:r>
            <w:proofErr w:type="spellStart"/>
            <w:r w:rsidRPr="00A921AE">
              <w:rPr>
                <w:b/>
              </w:rPr>
              <w:t>onečiščivač</w:t>
            </w:r>
            <w:proofErr w:type="spellEnd"/>
            <w:r w:rsidRPr="00A921AE">
              <w:rPr>
                <w:b/>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w:t>
            </w:r>
            <w:hyperlink r:id="rId5" w:history="1">
              <w:r w:rsidRPr="00A921AE">
                <w:rPr>
                  <w:rStyle w:val="Hiperveza"/>
                  <w:b/>
                  <w:color w:val="auto"/>
                </w:rPr>
                <w:t xml:space="preserve">više od 20 gradova i općina </w:t>
              </w:r>
              <w:r w:rsidRPr="00A921AE">
                <w:rPr>
                  <w:rStyle w:val="Hiperveza"/>
                  <w:b/>
                  <w:color w:val="auto"/>
                  <w:shd w:val="clear" w:color="auto" w:fill="FFFFFF"/>
                </w:rPr>
                <w:t>pokrenulo postupak za </w:t>
              </w:r>
              <w:r w:rsidRPr="00A921AE">
                <w:rPr>
                  <w:rStyle w:val="Hiperveza"/>
                  <w:b/>
                  <w:bCs/>
                  <w:color w:val="auto"/>
                  <w:shd w:val="clear" w:color="auto" w:fill="FFFFFF"/>
                </w:rPr>
                <w:t>ocjenu</w:t>
              </w:r>
              <w:r w:rsidRPr="00A921AE">
                <w:rPr>
                  <w:rStyle w:val="Hiperveza"/>
                  <w:b/>
                  <w:color w:val="auto"/>
                  <w:shd w:val="clear" w:color="auto" w:fill="FFFFFF"/>
                </w:rPr>
                <w:t> suglasnosti s Ustavom RH i Zakonom o održivom gospodarenju otpadom</w:t>
              </w:r>
            </w:hyperlink>
            <w:r w:rsidRPr="00A921AE">
              <w:rPr>
                <w:b/>
                <w:shd w:val="clear" w:color="auto" w:fill="FFFFFF"/>
              </w:rPr>
              <w:t xml:space="preserve">. Ukoliko se izmjene Uredbe i ustanove pravilnima, nevezano za to,  svejedno su potrebne temeljite izmjene Odluke, jer je propisala niz odredbi koje čine sustav odvojenog prikupljanja otpada u Zagrebu neefikasnim, a naplatu nepravednom i </w:t>
            </w:r>
            <w:proofErr w:type="spellStart"/>
            <w:r w:rsidRPr="00A921AE">
              <w:rPr>
                <w:b/>
                <w:shd w:val="clear" w:color="auto" w:fill="FFFFFF"/>
              </w:rPr>
              <w:t>nemotivirajućom</w:t>
            </w:r>
            <w:proofErr w:type="spellEnd"/>
            <w:r w:rsidRPr="00A921AE">
              <w:rPr>
                <w:b/>
                <w:shd w:val="clear" w:color="auto" w:fill="FFFFFF"/>
              </w:rPr>
              <w:t>. U komentarima na članke ćemo iznijeti neke od opaski zašto je model propisan ovom Odlukom, pa i njenim izmjenama koje su sada upućene u javno savjetovanje, štetan za okoliš i interes građana i građanki Zagreba.</w:t>
            </w:r>
            <w:r w:rsidRPr="00A921AE">
              <w:rPr>
                <w:b/>
                <w:color w:val="FF0000"/>
                <w:shd w:val="clear" w:color="auto" w:fill="FFFFFF"/>
              </w:rPr>
              <w:t xml:space="preserve"> </w:t>
            </w:r>
          </w:p>
          <w:p w:rsidR="003E6360" w:rsidRPr="00A921AE" w:rsidRDefault="003E6360" w:rsidP="00D361B0">
            <w:pPr>
              <w:rPr>
                <w:b/>
              </w:rPr>
            </w:pPr>
          </w:p>
          <w:p w:rsidR="003E6360" w:rsidRDefault="003E6360" w:rsidP="00D361B0"/>
          <w:p w:rsidR="003E6360" w:rsidRDefault="003E6360" w:rsidP="00D361B0"/>
          <w:p w:rsidR="003E6360" w:rsidRPr="002D6EC9" w:rsidRDefault="003E6360" w:rsidP="00D361B0"/>
        </w:tc>
      </w:tr>
      <w:tr w:rsidR="003E6360" w:rsidRPr="002D6EC9" w:rsidTr="00D361B0">
        <w:trPr>
          <w:trHeight w:val="1782"/>
        </w:trPr>
        <w:tc>
          <w:tcPr>
            <w:tcW w:w="5135" w:type="dxa"/>
            <w:tcBorders>
              <w:left w:val="thickThinSmallGap" w:sz="24" w:space="0" w:color="auto"/>
            </w:tcBorders>
            <w:vAlign w:val="center"/>
          </w:tcPr>
          <w:p w:rsidR="003E6360" w:rsidRPr="002D6EC9" w:rsidRDefault="003E6360" w:rsidP="00D361B0">
            <w:r w:rsidRPr="002D6EC9">
              <w:lastRenderedPageBreak/>
              <w:t xml:space="preserve">Primjedbe </w:t>
            </w:r>
            <w:r>
              <w:t>i prijedlozi na pojedine članke nacrta prijedloga akta</w:t>
            </w:r>
            <w:r w:rsidRPr="002D6EC9">
              <w:t xml:space="preserve"> s obrazloženjem</w:t>
            </w:r>
          </w:p>
          <w:p w:rsidR="003E6360" w:rsidRPr="002D6EC9" w:rsidRDefault="003E6360" w:rsidP="00D361B0"/>
          <w:p w:rsidR="003E6360" w:rsidRPr="002E7BAF" w:rsidRDefault="003E6360" w:rsidP="00D361B0">
            <w:pPr>
              <w:rPr>
                <w:i/>
              </w:rPr>
            </w:pPr>
          </w:p>
        </w:tc>
        <w:tc>
          <w:tcPr>
            <w:tcW w:w="5185" w:type="dxa"/>
            <w:tcBorders>
              <w:right w:val="thickThinSmallGap" w:sz="24" w:space="0" w:color="auto"/>
            </w:tcBorders>
            <w:vAlign w:val="center"/>
          </w:tcPr>
          <w:p w:rsidR="003B3BDE" w:rsidRDefault="003B3BDE" w:rsidP="00A921AE">
            <w:pPr>
              <w:pStyle w:val="box461283"/>
              <w:shd w:val="clear" w:color="auto" w:fill="FFFFFF"/>
              <w:spacing w:before="0" w:beforeAutospacing="0" w:after="48" w:afterAutospacing="0"/>
              <w:ind w:firstLine="408"/>
              <w:jc w:val="center"/>
              <w:textAlignment w:val="baseline"/>
              <w:rPr>
                <w:b/>
                <w:color w:val="231F20"/>
              </w:rPr>
            </w:pPr>
            <w:r w:rsidRPr="007F2491">
              <w:rPr>
                <w:b/>
                <w:color w:val="231F20"/>
              </w:rPr>
              <w:t>Članak 5.</w:t>
            </w:r>
          </w:p>
          <w:p w:rsidR="003B3BDE" w:rsidRDefault="003B3BDE" w:rsidP="003B3BDE">
            <w:pPr>
              <w:pStyle w:val="box461283"/>
              <w:shd w:val="clear" w:color="auto" w:fill="FFFFFF"/>
              <w:spacing w:before="0" w:beforeAutospacing="0" w:after="48" w:afterAutospacing="0"/>
              <w:ind w:firstLine="408"/>
              <w:jc w:val="both"/>
              <w:textAlignment w:val="baseline"/>
              <w:rPr>
                <w:color w:val="231F20"/>
              </w:rPr>
            </w:pPr>
            <w:r>
              <w:rPr>
                <w:color w:val="231F20"/>
              </w:rPr>
              <w:t>U članku 7. iza stavka 1. dodaju se novi stavci 2., 3. i 4. koji glase:</w:t>
            </w:r>
          </w:p>
          <w:p w:rsidR="003B3BDE" w:rsidRDefault="003B3BDE" w:rsidP="003B3BDE">
            <w:pPr>
              <w:pStyle w:val="box461283"/>
              <w:shd w:val="clear" w:color="auto" w:fill="FFFFFF"/>
              <w:spacing w:before="0" w:beforeAutospacing="0" w:after="0" w:afterAutospacing="0"/>
              <w:ind w:firstLine="408"/>
              <w:jc w:val="both"/>
              <w:textAlignment w:val="baseline"/>
              <w:rPr>
                <w:color w:val="231F20"/>
              </w:rPr>
            </w:pPr>
            <w:r>
              <w:rPr>
                <w:color w:val="231F20"/>
              </w:rPr>
              <w:t>„</w:t>
            </w:r>
            <w:r w:rsidRPr="007F2491">
              <w:rPr>
                <w:color w:val="231F20"/>
              </w:rPr>
              <w:t>Primjereni volumen spremnika za miješani komunalni otpad kod korisnika usluga iz kućanstva, koji koriste zajedničke spremnike za miješani komunalni otpad, iznosi minimalno 40 litara po pojedinom korisniku.“</w:t>
            </w:r>
          </w:p>
          <w:p w:rsidR="003B3BDE" w:rsidRPr="00362CD3" w:rsidRDefault="003B3BDE" w:rsidP="003B3BDE">
            <w:pPr>
              <w:pStyle w:val="box461283"/>
              <w:shd w:val="clear" w:color="auto" w:fill="FFFFFF"/>
              <w:spacing w:before="0" w:beforeAutospacing="0" w:after="0" w:afterAutospacing="0"/>
              <w:ind w:firstLine="408"/>
              <w:jc w:val="both"/>
              <w:textAlignment w:val="baseline"/>
              <w:rPr>
                <w:b/>
                <w:color w:val="231F20"/>
              </w:rPr>
            </w:pPr>
            <w:r w:rsidRPr="00362CD3">
              <w:rPr>
                <w:b/>
                <w:color w:val="231F20"/>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362CD3">
              <w:rPr>
                <w:b/>
                <w:color w:val="231F20"/>
              </w:rPr>
              <w:t>primjenjena</w:t>
            </w:r>
            <w:proofErr w:type="spellEnd"/>
            <w:r w:rsidRPr="00362CD3">
              <w:rPr>
                <w:b/>
                <w:color w:val="231F20"/>
              </w:rPr>
              <w:t xml:space="preserve">  diljem EU, pa i u hrvatskim gradovima (</w:t>
            </w:r>
            <w:proofErr w:type="spellStart"/>
            <w:r w:rsidRPr="00362CD3">
              <w:rPr>
                <w:b/>
                <w:color w:val="231F20"/>
              </w:rPr>
              <w:t>barkodirane</w:t>
            </w:r>
            <w:proofErr w:type="spellEnd"/>
            <w:r w:rsidRPr="00362CD3">
              <w:rPr>
                <w:b/>
                <w:color w:val="231F20"/>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3B3BDE" w:rsidRPr="007F2491" w:rsidRDefault="003B3BDE" w:rsidP="003B3BDE">
            <w:pPr>
              <w:pStyle w:val="box461283"/>
              <w:shd w:val="clear" w:color="auto" w:fill="FFFFFF"/>
              <w:spacing w:before="0" w:beforeAutospacing="0" w:after="0" w:afterAutospacing="0"/>
              <w:ind w:firstLine="408"/>
              <w:jc w:val="both"/>
              <w:textAlignment w:val="baseline"/>
              <w:rPr>
                <w:color w:val="231F20"/>
              </w:rPr>
            </w:pPr>
          </w:p>
          <w:p w:rsidR="003E6360" w:rsidRDefault="003E6360" w:rsidP="00D361B0"/>
          <w:p w:rsidR="003B3BDE" w:rsidRDefault="003B3BDE" w:rsidP="00D361B0"/>
          <w:p w:rsidR="003B3BDE" w:rsidRPr="006C11CB" w:rsidRDefault="003B3BDE" w:rsidP="003B3BDE">
            <w:pPr>
              <w:jc w:val="center"/>
              <w:rPr>
                <w:b/>
                <w:color w:val="231F20"/>
              </w:rPr>
            </w:pPr>
            <w:r w:rsidRPr="006C11CB">
              <w:rPr>
                <w:b/>
                <w:color w:val="231F20"/>
              </w:rPr>
              <w:t>Članak 13.</w:t>
            </w:r>
          </w:p>
          <w:p w:rsidR="003B3BDE" w:rsidRDefault="003B3BDE" w:rsidP="003B3BDE">
            <w:pPr>
              <w:jc w:val="both"/>
              <w:rPr>
                <w:color w:val="231F20"/>
              </w:rPr>
            </w:pPr>
            <w:r>
              <w:rPr>
                <w:color w:val="231F20"/>
              </w:rPr>
              <w:t>U članku 23. stavku 3. alineji 2. iza riječi: „nije pogodna za stanovanje“ dodaje se zarez i riječi: „</w:t>
            </w:r>
            <w:r w:rsidRPr="006C11CB">
              <w:rPr>
                <w:color w:val="231F20"/>
              </w:rPr>
              <w:t>odnosno za poslovnu djelatnost</w:t>
            </w:r>
            <w:r>
              <w:rPr>
                <w:color w:val="231F20"/>
              </w:rPr>
              <w:t>“.</w:t>
            </w:r>
          </w:p>
          <w:p w:rsidR="003B3BDE" w:rsidRDefault="003B3BDE" w:rsidP="003B3BDE">
            <w:pPr>
              <w:jc w:val="both"/>
              <w:rPr>
                <w:color w:val="231F20"/>
              </w:rPr>
            </w:pPr>
            <w:r>
              <w:rPr>
                <w:color w:val="231F20"/>
              </w:rPr>
              <w:t>Stavak 5. mijenja se i glasi: „</w:t>
            </w:r>
            <w:r w:rsidRPr="006C11CB">
              <w:rPr>
                <w:color w:val="231F20"/>
              </w:rPr>
              <w:t xml:space="preserve">Cijena obvezne minimalne javne uključuje troškove nabave i održavanja opreme za prikupljanje otpada, prijevoza otpada, obrade otpada (osim troškova zbrinjavanja miješanog komunalnog otpada), troškove nastale radom </w:t>
            </w:r>
            <w:proofErr w:type="spellStart"/>
            <w:r w:rsidRPr="006C11CB">
              <w:rPr>
                <w:color w:val="231F20"/>
              </w:rPr>
              <w:t>reciklažnih</w:t>
            </w:r>
            <w:proofErr w:type="spellEnd"/>
            <w:r w:rsidRPr="006C11CB">
              <w:rPr>
                <w:color w:val="231F20"/>
              </w:rPr>
              <w:t xml:space="preserve"> i mobilnih  </w:t>
            </w:r>
            <w:proofErr w:type="spellStart"/>
            <w:r w:rsidRPr="006C11CB">
              <w:rPr>
                <w:color w:val="231F20"/>
              </w:rPr>
              <w:t>reciklažnih</w:t>
            </w:r>
            <w:proofErr w:type="spellEnd"/>
            <w:r w:rsidRPr="006C11CB">
              <w:rPr>
                <w:color w:val="231F20"/>
              </w:rPr>
              <w:t xml:space="preserve"> dvorišta, prijevoza i obrade glomaznog otpada i vođenja </w:t>
            </w:r>
            <w:r w:rsidRPr="006C11CB">
              <w:rPr>
                <w:color w:val="231F20"/>
              </w:rPr>
              <w:lastRenderedPageBreak/>
              <w:t>propisanih evidencija i izvješćivanja u vezi s javnom uslugama.</w:t>
            </w:r>
            <w:r>
              <w:rPr>
                <w:color w:val="231F20"/>
              </w:rPr>
              <w:t>“</w:t>
            </w:r>
          </w:p>
          <w:p w:rsidR="003B3BDE" w:rsidRDefault="003B3BDE" w:rsidP="003B3BDE">
            <w:pPr>
              <w:jc w:val="both"/>
              <w:rPr>
                <w:color w:val="231F20"/>
              </w:rPr>
            </w:pPr>
            <w:r>
              <w:rPr>
                <w:color w:val="231F20"/>
              </w:rPr>
              <w:t>Iza stavka 5. dodaju se novi stavci od 6. do 9. koji glase:</w:t>
            </w:r>
          </w:p>
          <w:p w:rsidR="003B3BDE" w:rsidRDefault="003B3BDE" w:rsidP="003B3BDE">
            <w:pPr>
              <w:jc w:val="both"/>
              <w:rPr>
                <w:color w:val="231F20"/>
              </w:rPr>
            </w:pPr>
            <w:r>
              <w:rPr>
                <w:color w:val="231F20"/>
              </w:rPr>
              <w:t>„</w:t>
            </w:r>
            <w:r w:rsidRPr="00C14AB7">
              <w:rPr>
                <w:color w:val="231F20"/>
              </w:rPr>
              <w:t>Cijena obvezne minimalne javna usluge i usluge povezane s javnom uslugom   na području Grada Zagreba za korisnike javne usluge razvrstane u kategoriju korisnika kućanstvo iznosi 68,57 kuna (s PDV).</w:t>
            </w:r>
          </w:p>
          <w:p w:rsidR="003B3BDE" w:rsidRDefault="003B3BDE" w:rsidP="003B3BDE">
            <w:pPr>
              <w:jc w:val="both"/>
              <w:rPr>
                <w:color w:val="231F20"/>
              </w:rPr>
            </w:pPr>
          </w:p>
          <w:p w:rsidR="003B3BDE" w:rsidRPr="00DE423E" w:rsidRDefault="003B3BDE" w:rsidP="003B3BDE">
            <w:pPr>
              <w:jc w:val="both"/>
              <w:rPr>
                <w:b/>
                <w:color w:val="231F20"/>
              </w:rPr>
            </w:pPr>
            <w:r w:rsidRPr="00DE423E">
              <w:rPr>
                <w:b/>
                <w:color w:val="231F20"/>
              </w:rPr>
              <w:t>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w:t>
            </w:r>
          </w:p>
          <w:p w:rsidR="003B3BDE" w:rsidRDefault="003B3BDE" w:rsidP="003B3BDE">
            <w:pPr>
              <w:jc w:val="both"/>
              <w:rPr>
                <w:color w:val="231F20"/>
              </w:rPr>
            </w:pPr>
          </w:p>
          <w:p w:rsidR="003B3BDE" w:rsidRDefault="003B3BDE" w:rsidP="00D361B0"/>
          <w:p w:rsidR="003B3BDE" w:rsidRDefault="003B3BDE" w:rsidP="00D361B0"/>
          <w:p w:rsidR="003B3BDE" w:rsidRPr="00C14AB7" w:rsidRDefault="003B3BDE" w:rsidP="003B3BDE">
            <w:pPr>
              <w:jc w:val="both"/>
              <w:rPr>
                <w:color w:val="231F20"/>
              </w:rPr>
            </w:pPr>
            <w:r w:rsidRPr="00C14AB7">
              <w:rPr>
                <w:color w:val="231F20"/>
              </w:rPr>
              <w:t>Cijena obvezne minimalne javna usluge i usluge povezane s javnom uslugom   na području Grada Zagreba za korisnike javne usluge razvrstane u potkategorije korisnika koji nisu kućanstvo:</w:t>
            </w:r>
          </w:p>
          <w:p w:rsidR="003B3BDE" w:rsidRPr="00C14AB7" w:rsidRDefault="003B3BDE" w:rsidP="003B3BDE">
            <w:pPr>
              <w:jc w:val="both"/>
              <w:rPr>
                <w:color w:val="231F20"/>
              </w:rPr>
            </w:pPr>
            <w:r w:rsidRPr="00C14AB7">
              <w:rPr>
                <w:color w:val="231F20"/>
              </w:rPr>
              <w:t xml:space="preserve"> - za potkategoriju I      iznosi 119,99 kn (s PDV)</w:t>
            </w:r>
          </w:p>
          <w:p w:rsidR="003B3BDE" w:rsidRPr="00C14AB7" w:rsidRDefault="003B3BDE" w:rsidP="003B3BDE">
            <w:pPr>
              <w:jc w:val="both"/>
              <w:rPr>
                <w:color w:val="231F20"/>
              </w:rPr>
            </w:pPr>
            <w:r w:rsidRPr="00C14AB7">
              <w:rPr>
                <w:color w:val="231F20"/>
              </w:rPr>
              <w:t>- za potkategoriju II      iznosi   85,71 kn (s PDV)</w:t>
            </w:r>
          </w:p>
          <w:p w:rsidR="003B3BDE" w:rsidRPr="00C14AB7" w:rsidRDefault="003B3BDE" w:rsidP="003B3BDE">
            <w:pPr>
              <w:jc w:val="both"/>
              <w:rPr>
                <w:color w:val="231F20"/>
              </w:rPr>
            </w:pPr>
            <w:r w:rsidRPr="00C14AB7">
              <w:rPr>
                <w:color w:val="231F20"/>
              </w:rPr>
              <w:t>- za potkategoriju III     iznosi  154,28 kn (s PDV)</w:t>
            </w:r>
          </w:p>
          <w:p w:rsidR="003B3BDE" w:rsidRPr="00C14AB7" w:rsidRDefault="003B3BDE" w:rsidP="003B3BDE">
            <w:pPr>
              <w:jc w:val="both"/>
              <w:rPr>
                <w:color w:val="231F20"/>
              </w:rPr>
            </w:pPr>
            <w:r w:rsidRPr="00C14AB7">
              <w:rPr>
                <w:color w:val="231F20"/>
              </w:rPr>
              <w:t>- za potkategoriju IV     iznosi  137,14 kn (s PDV)</w:t>
            </w:r>
          </w:p>
          <w:p w:rsidR="003B3BDE" w:rsidRPr="00C14AB7" w:rsidRDefault="003B3BDE" w:rsidP="003B3BDE">
            <w:pPr>
              <w:jc w:val="both"/>
              <w:rPr>
                <w:color w:val="231F20"/>
              </w:rPr>
            </w:pPr>
            <w:r w:rsidRPr="00C14AB7">
              <w:rPr>
                <w:color w:val="231F20"/>
              </w:rPr>
              <w:t>- za potkategoriju V       iznosi  102,85 kn (s PDV)</w:t>
            </w:r>
          </w:p>
          <w:p w:rsidR="003B3BDE" w:rsidRPr="00C14AB7" w:rsidRDefault="003B3BDE" w:rsidP="003B3BDE">
            <w:pPr>
              <w:jc w:val="both"/>
              <w:rPr>
                <w:color w:val="231F20"/>
              </w:rPr>
            </w:pPr>
            <w:r w:rsidRPr="00C14AB7">
              <w:rPr>
                <w:color w:val="231F20"/>
              </w:rPr>
              <w:t>- za potkategoriju VI     iznosi  188,56 kn (s PDV)</w:t>
            </w:r>
          </w:p>
          <w:p w:rsidR="003B3BDE" w:rsidRDefault="003B3BDE" w:rsidP="003B3BDE">
            <w:pPr>
              <w:jc w:val="both"/>
              <w:rPr>
                <w:color w:val="231F20"/>
              </w:rPr>
            </w:pPr>
            <w:r w:rsidRPr="00C14AB7">
              <w:rPr>
                <w:color w:val="231F20"/>
              </w:rPr>
              <w:t>- za potkategoriju VII    iznosi  205,71 kn (s PDV)</w:t>
            </w:r>
          </w:p>
          <w:p w:rsidR="003B3BDE" w:rsidRDefault="003B3BDE" w:rsidP="003B3BDE">
            <w:pPr>
              <w:jc w:val="both"/>
              <w:rPr>
                <w:color w:val="231F20"/>
              </w:rPr>
            </w:pPr>
          </w:p>
          <w:p w:rsidR="003B3BDE" w:rsidRPr="00DE423E" w:rsidRDefault="003B3BDE" w:rsidP="003B3BDE">
            <w:pPr>
              <w:jc w:val="both"/>
              <w:rPr>
                <w:b/>
                <w:color w:val="231F20"/>
              </w:rPr>
            </w:pPr>
            <w:r w:rsidRPr="00DE423E">
              <w:rPr>
                <w:b/>
                <w:color w:val="231F20"/>
              </w:rPr>
              <w:t xml:space="preserve">Ove cijene su puno previsoke s obzirom na veoma nisku kvalitetu usluge koju pruža komunalno poduzeće, te su izračunate </w:t>
            </w:r>
            <w:r>
              <w:rPr>
                <w:b/>
                <w:color w:val="231F20"/>
              </w:rPr>
              <w:t>po nepravednom modelu plaćanja i potrebno je od njih odustati.</w:t>
            </w:r>
          </w:p>
          <w:p w:rsidR="003B3BDE" w:rsidRDefault="003B3BDE" w:rsidP="00D361B0"/>
          <w:p w:rsidR="003B3BDE" w:rsidRDefault="003B3BDE" w:rsidP="00D361B0"/>
          <w:p w:rsidR="003B3BDE" w:rsidRDefault="003B3BDE" w:rsidP="00D361B0"/>
          <w:p w:rsidR="003B3BDE" w:rsidRDefault="003B3BDE" w:rsidP="00D361B0"/>
          <w:p w:rsidR="003B3BDE" w:rsidRPr="00C14AB7" w:rsidRDefault="003B3BDE" w:rsidP="00A921AE">
            <w:pPr>
              <w:jc w:val="center"/>
              <w:rPr>
                <w:b/>
                <w:color w:val="231F20"/>
              </w:rPr>
            </w:pPr>
            <w:r w:rsidRPr="00C14AB7">
              <w:rPr>
                <w:b/>
                <w:color w:val="231F20"/>
              </w:rPr>
              <w:t>Članak 15.</w:t>
            </w:r>
          </w:p>
          <w:p w:rsidR="003B3BDE" w:rsidRDefault="003B3BDE" w:rsidP="003B3BDE">
            <w:pPr>
              <w:pStyle w:val="box461283"/>
              <w:shd w:val="clear" w:color="auto" w:fill="FFFFFF"/>
              <w:spacing w:before="0" w:beforeAutospacing="0" w:after="48" w:afterAutospacing="0"/>
              <w:ind w:firstLine="408"/>
              <w:jc w:val="both"/>
              <w:textAlignment w:val="baseline"/>
              <w:rPr>
                <w:color w:val="231F20"/>
              </w:rPr>
            </w:pPr>
            <w:r>
              <w:rPr>
                <w:color w:val="231F20"/>
              </w:rPr>
              <w:t>Članak 25. mijenja se i glasi:</w:t>
            </w:r>
          </w:p>
          <w:p w:rsidR="003B3BDE" w:rsidRDefault="003B3BDE" w:rsidP="003B3BDE">
            <w:pPr>
              <w:pStyle w:val="box461283"/>
              <w:shd w:val="clear" w:color="auto" w:fill="FFFFFF"/>
              <w:spacing w:before="0" w:beforeAutospacing="0" w:after="48" w:afterAutospacing="0"/>
              <w:ind w:firstLine="408"/>
              <w:jc w:val="both"/>
              <w:textAlignment w:val="baseline"/>
              <w:rPr>
                <w:color w:val="231F20"/>
              </w:rPr>
            </w:pPr>
            <w:r>
              <w:rPr>
                <w:color w:val="231F20"/>
              </w:rPr>
              <w:t xml:space="preserve">„Kada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w:t>
            </w:r>
            <w:proofErr w:type="spellStart"/>
            <w:r>
              <w:rPr>
                <w:color w:val="231F20"/>
              </w:rPr>
              <w:t>biootpad</w:t>
            </w:r>
            <w:proofErr w:type="spellEnd"/>
            <w:r>
              <w:rPr>
                <w:color w:val="231F20"/>
              </w:rPr>
              <w:t>, otpadni papir i karton te vreće za otpadnu plastiku i otpadnu metalnu ambalažu.</w:t>
            </w:r>
          </w:p>
          <w:p w:rsidR="003B3BDE" w:rsidRPr="00DE423E" w:rsidRDefault="003B3BDE" w:rsidP="003B3BDE">
            <w:pPr>
              <w:pStyle w:val="box461283"/>
              <w:shd w:val="clear" w:color="auto" w:fill="FFFFFF"/>
              <w:spacing w:before="0" w:beforeAutospacing="0" w:after="48" w:afterAutospacing="0"/>
              <w:ind w:firstLine="408"/>
              <w:jc w:val="both"/>
              <w:textAlignment w:val="baseline"/>
              <w:rPr>
                <w:b/>
                <w:color w:val="231F20"/>
              </w:rPr>
            </w:pPr>
            <w:r w:rsidRPr="00DE423E">
              <w:rPr>
                <w:b/>
                <w:color w:val="231F20"/>
              </w:rPr>
              <w:t xml:space="preserve">Bilo kakvo postizanje sporazuma o udjelima u zajedničkom spremniku nema smisla s obzirom da Grad propisuje „primjereni volumen“ pa građani i građanke neće moći birati volumen shodno svojim potrebama. Također, koliki god volumen korisnici </w:t>
            </w:r>
            <w:proofErr w:type="spellStart"/>
            <w:r w:rsidRPr="00DE423E">
              <w:rPr>
                <w:b/>
                <w:color w:val="231F20"/>
              </w:rPr>
              <w:t>odabbrali</w:t>
            </w:r>
            <w:proofErr w:type="spellEnd"/>
            <w:r w:rsidRPr="00DE423E">
              <w:rPr>
                <w:b/>
                <w:color w:val="231F20"/>
              </w:rPr>
              <w:t xml:space="preserve">,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3B3BDE" w:rsidRDefault="003B3BDE" w:rsidP="003B3BDE">
            <w:pPr>
              <w:pStyle w:val="box461283"/>
              <w:shd w:val="clear" w:color="auto" w:fill="FFFFFF"/>
              <w:spacing w:before="0" w:beforeAutospacing="0" w:after="48" w:afterAutospacing="0"/>
              <w:ind w:firstLine="408"/>
              <w:jc w:val="both"/>
              <w:textAlignment w:val="baseline"/>
              <w:rPr>
                <w:color w:val="231F20"/>
              </w:rPr>
            </w:pPr>
          </w:p>
          <w:p w:rsidR="003B3BDE" w:rsidRDefault="003B3BDE" w:rsidP="00D361B0"/>
          <w:p w:rsidR="003B3BDE" w:rsidRDefault="003B3BDE" w:rsidP="003B3BDE">
            <w:pPr>
              <w:pStyle w:val="box461283"/>
              <w:shd w:val="clear" w:color="auto" w:fill="FFFFFF"/>
              <w:spacing w:before="0" w:beforeAutospacing="0" w:after="48" w:afterAutospacing="0"/>
              <w:ind w:firstLine="408"/>
              <w:jc w:val="both"/>
              <w:textAlignment w:val="baseline"/>
              <w:rPr>
                <w:color w:val="231F20"/>
              </w:rPr>
            </w:pPr>
            <w:r>
              <w:rPr>
                <w:color w:val="231F20"/>
              </w:rPr>
              <w:t>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w:t>
            </w:r>
          </w:p>
          <w:p w:rsidR="003B3BDE" w:rsidRPr="003F3DF1" w:rsidRDefault="003B3BDE" w:rsidP="003B3BDE">
            <w:pPr>
              <w:pStyle w:val="box461283"/>
              <w:shd w:val="clear" w:color="auto" w:fill="FFFFFF"/>
              <w:spacing w:before="0" w:beforeAutospacing="0" w:after="48" w:afterAutospacing="0"/>
              <w:ind w:firstLine="408"/>
              <w:jc w:val="both"/>
              <w:textAlignment w:val="baseline"/>
              <w:rPr>
                <w:b/>
                <w:color w:val="231F20"/>
              </w:rPr>
            </w:pPr>
          </w:p>
          <w:p w:rsidR="003B3BDE" w:rsidRPr="003F3DF1" w:rsidRDefault="003B3BDE" w:rsidP="003B3BDE">
            <w:pPr>
              <w:pStyle w:val="box461283"/>
              <w:shd w:val="clear" w:color="auto" w:fill="FFFFFF"/>
              <w:spacing w:before="0" w:beforeAutospacing="0" w:after="48" w:afterAutospacing="0"/>
              <w:jc w:val="both"/>
              <w:textAlignment w:val="baseline"/>
              <w:rPr>
                <w:b/>
                <w:color w:val="231F20"/>
              </w:rPr>
            </w:pPr>
            <w:r w:rsidRPr="003F3DF1">
              <w:rPr>
                <w:b/>
                <w:color w:val="231F20"/>
              </w:rPr>
              <w:t xml:space="preserve">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w:t>
            </w:r>
            <w:r w:rsidRPr="003F3DF1">
              <w:rPr>
                <w:b/>
                <w:color w:val="231F20"/>
              </w:rPr>
              <w:lastRenderedPageBreak/>
              <w:t xml:space="preserve">smije primjenjivati već hitno osigurati svu potrebnu infrastrukturu, a ovu Odluku formirati na način da pravedno naplaćuje odvoz otpada shodno stvarno predanim količinama miješanog komunalnog otpada, kako i propisuje Zakon o održivom gospodarenju otpadom. </w:t>
            </w:r>
          </w:p>
          <w:p w:rsidR="003B3BDE" w:rsidRDefault="003B3BDE" w:rsidP="00D361B0"/>
          <w:p w:rsidR="003B3BDE" w:rsidRDefault="003B3BDE" w:rsidP="00D361B0"/>
          <w:p w:rsidR="003B3BDE" w:rsidRDefault="003B3BDE" w:rsidP="00A921AE">
            <w:pPr>
              <w:pStyle w:val="box461283"/>
              <w:shd w:val="clear" w:color="auto" w:fill="FFFFFF"/>
              <w:spacing w:before="0" w:beforeAutospacing="0" w:after="48" w:afterAutospacing="0"/>
              <w:ind w:firstLine="408"/>
              <w:jc w:val="center"/>
              <w:textAlignment w:val="baseline"/>
              <w:rPr>
                <w:b/>
                <w:color w:val="231F20"/>
              </w:rPr>
            </w:pPr>
            <w:r w:rsidRPr="003055AB">
              <w:rPr>
                <w:b/>
                <w:color w:val="231F20"/>
              </w:rPr>
              <w:t>Članak 17.</w:t>
            </w:r>
          </w:p>
          <w:p w:rsidR="003B3BDE" w:rsidRPr="003055AB" w:rsidRDefault="003B3BDE" w:rsidP="003B3BDE">
            <w:pPr>
              <w:pStyle w:val="box461283"/>
              <w:shd w:val="clear" w:color="auto" w:fill="FFFFFF"/>
              <w:spacing w:before="0" w:beforeAutospacing="0" w:after="48" w:afterAutospacing="0"/>
              <w:ind w:firstLine="408"/>
              <w:jc w:val="both"/>
              <w:textAlignment w:val="baseline"/>
              <w:rPr>
                <w:color w:val="231F20"/>
              </w:rPr>
            </w:pPr>
            <w:r>
              <w:rPr>
                <w:color w:val="231F20"/>
              </w:rPr>
              <w:t xml:space="preserve">U članku 30. stavak 1. mijenja se i glasi: </w:t>
            </w:r>
          </w:p>
          <w:p w:rsidR="003B3BDE" w:rsidRPr="003055AB" w:rsidRDefault="003B3BDE" w:rsidP="003B3BDE">
            <w:pPr>
              <w:jc w:val="both"/>
            </w:pPr>
            <w:r>
              <w:rPr>
                <w:color w:val="231F20"/>
              </w:rPr>
              <w:t>„</w:t>
            </w:r>
            <w:r w:rsidRPr="003055AB">
              <w:t>Korisnik usluge iz kategorije kućanstva dužan je platiti iznos ugovorne kazne od 800,00 kn, a korisnik usluge iz kategorije koji nisu kućanstvo iznos ugovorne kazne od 1.000,00 kn  za sljedeće postupke:</w:t>
            </w:r>
          </w:p>
          <w:p w:rsidR="003B3BDE" w:rsidRPr="003055AB" w:rsidRDefault="003B3BDE" w:rsidP="003B3BDE">
            <w:pPr>
              <w:jc w:val="both"/>
            </w:pPr>
            <w:r w:rsidRPr="003055AB">
              <w:t xml:space="preserve">- ako ne koristi javnu uslugu i ne predaje miješani komunalni otpad, biorazgradivi komunalni otpad  i krupni (glomazni) otpad davatelju usluge iz članka 3. ove odluke, </w:t>
            </w:r>
          </w:p>
          <w:p w:rsidR="003B3BDE" w:rsidRDefault="003B3BDE" w:rsidP="003B3BDE">
            <w:pPr>
              <w:jc w:val="both"/>
            </w:pPr>
            <w:r w:rsidRPr="003055AB">
              <w:t xml:space="preserve">- ako na svom obračunskom mjestu ne postupa s otpadom na način kojim se ne dovodi u opasnost ljudsko zdravlje, ne dovodi do rasipanja otpada oko spremnika i ne uzrokuje pojavu neugode drugoj osobi zbog mirisa otpada, </w:t>
            </w:r>
          </w:p>
          <w:p w:rsidR="003B3BDE" w:rsidRDefault="003B3BDE" w:rsidP="003B3BDE">
            <w:pPr>
              <w:jc w:val="both"/>
            </w:pPr>
          </w:p>
          <w:p w:rsidR="003B3BDE" w:rsidRPr="000F173F" w:rsidRDefault="003B3BDE" w:rsidP="003B3BDE">
            <w:pPr>
              <w:jc w:val="both"/>
              <w:rPr>
                <w:b/>
              </w:rPr>
            </w:pPr>
            <w:r w:rsidRPr="000F173F">
              <w:rPr>
                <w:b/>
              </w:rPr>
              <w:t xml:space="preserve">S obzirom da se </w:t>
            </w:r>
            <w:proofErr w:type="spellStart"/>
            <w:r w:rsidRPr="000F173F">
              <w:rPr>
                <w:b/>
              </w:rPr>
              <w:t>biootpad</w:t>
            </w:r>
            <w:proofErr w:type="spellEnd"/>
            <w:r w:rsidRPr="000F173F">
              <w:rPr>
                <w:b/>
              </w:rPr>
              <w:t xml:space="preserve">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w:t>
            </w:r>
            <w:proofErr w:type="spellStart"/>
            <w:r w:rsidRPr="000F173F">
              <w:rPr>
                <w:b/>
              </w:rPr>
              <w:t>Biootpad</w:t>
            </w:r>
            <w:proofErr w:type="spellEnd"/>
            <w:r w:rsidRPr="000F173F">
              <w:rPr>
                <w:b/>
              </w:rPr>
              <w:t xml:space="preserve"> se mora odvoziti češće, kante moraju biti pod ključem i </w:t>
            </w:r>
            <w:proofErr w:type="spellStart"/>
            <w:r w:rsidRPr="000F173F">
              <w:rPr>
                <w:b/>
              </w:rPr>
              <w:t>čipirane</w:t>
            </w:r>
            <w:proofErr w:type="spellEnd"/>
            <w:r w:rsidRPr="000F173F">
              <w:rPr>
                <w:b/>
              </w:rPr>
              <w:t xml:space="preserve">, moraju biti antimikrobne te se moraju češće dezinficirati. </w:t>
            </w:r>
          </w:p>
          <w:p w:rsidR="003B3BDE" w:rsidRDefault="003B3BDE" w:rsidP="00D361B0"/>
          <w:p w:rsidR="003B3BDE" w:rsidRDefault="003B3BDE" w:rsidP="00D361B0"/>
          <w:p w:rsidR="00D361B0" w:rsidRDefault="003B3BDE" w:rsidP="00D361B0">
            <w:pPr>
              <w:jc w:val="both"/>
            </w:pPr>
            <w:r w:rsidRPr="003055AB">
              <w:t xml:space="preserve">- ako se prilikom primopredaje otpada utvrdi da sadržaj u spremniku za </w:t>
            </w:r>
            <w:proofErr w:type="spellStart"/>
            <w:r w:rsidRPr="003055AB">
              <w:t>biootpad</w:t>
            </w:r>
            <w:proofErr w:type="spellEnd"/>
            <w:r w:rsidRPr="003055AB">
              <w:t xml:space="preserve"> ili otpadni papir i karton ili otpadnu plastiku i otpadnu metalnu ambalažu, ne odgovara vrsti otpada  primopredaja kojeg se obavlja, </w:t>
            </w:r>
          </w:p>
          <w:p w:rsidR="00D361B0" w:rsidRPr="003055AB" w:rsidRDefault="00D361B0" w:rsidP="00D361B0">
            <w:pPr>
              <w:jc w:val="both"/>
            </w:pPr>
            <w:r w:rsidRPr="003055AB">
              <w:t xml:space="preserve">- ako u spremnik za miješani komunalni otpad „ili za </w:t>
            </w:r>
            <w:proofErr w:type="spellStart"/>
            <w:r w:rsidRPr="003055AB">
              <w:t>biootpad</w:t>
            </w:r>
            <w:proofErr w:type="spellEnd"/>
            <w:r w:rsidRPr="003055AB">
              <w:t xml:space="preserve"> ili otpadni papir i karton ili otpadnu plastiku i otpadnu metalnu ambalažu“ odloži problematičan otpad koji sadrži opasne tvari ili je onečišćen opasnim tvarima (npr. boje i lakove, ambalažu onečišćenu opasnim tvarima, kiseline, </w:t>
            </w:r>
            <w:r w:rsidRPr="003055AB">
              <w:lastRenderedPageBreak/>
              <w:t xml:space="preserve">lužine, lijekove, akumulatore, pesticide, maziva ulja i sl.), </w:t>
            </w:r>
          </w:p>
          <w:p w:rsidR="003B3BDE" w:rsidRDefault="003B3BDE" w:rsidP="003B3BDE">
            <w:pPr>
              <w:jc w:val="both"/>
            </w:pPr>
          </w:p>
          <w:p w:rsidR="003B3BDE" w:rsidRPr="000F173F" w:rsidRDefault="003B3BDE" w:rsidP="003B3BDE">
            <w:pPr>
              <w:jc w:val="both"/>
              <w:rPr>
                <w:b/>
              </w:rPr>
            </w:pPr>
            <w:r w:rsidRPr="000F173F">
              <w:rPr>
                <w:b/>
              </w:rPr>
              <w:t xml:space="preserve">Na koji će se način </w:t>
            </w:r>
            <w:proofErr w:type="spellStart"/>
            <w:r w:rsidRPr="000F173F">
              <w:rPr>
                <w:b/>
              </w:rPr>
              <w:t>utvriditi</w:t>
            </w:r>
            <w:proofErr w:type="spellEnd"/>
            <w:r w:rsidRPr="000F173F">
              <w:rPr>
                <w:b/>
              </w:rPr>
              <w:t xml:space="preserve"> da je točno određena osoba postupala nepravilno s otpadom? S obzirom da u </w:t>
            </w:r>
            <w:proofErr w:type="spellStart"/>
            <w:r w:rsidRPr="000F173F">
              <w:rPr>
                <w:b/>
              </w:rPr>
              <w:t>višestambenim</w:t>
            </w:r>
            <w:proofErr w:type="spellEnd"/>
            <w:r w:rsidRPr="000F173F">
              <w:rPr>
                <w:b/>
              </w:rPr>
              <w:t xml:space="preserve"> zgradama nije uspostavljen adekvatan sustav odvojenog prikupljanja </w:t>
            </w:r>
            <w:proofErr w:type="spellStart"/>
            <w:r w:rsidRPr="000F173F">
              <w:rPr>
                <w:b/>
              </w:rPr>
              <w:t>biootpada</w:t>
            </w:r>
            <w:proofErr w:type="spellEnd"/>
            <w:r w:rsidRPr="000F173F">
              <w:rPr>
                <w:b/>
              </w:rPr>
              <w:t xml:space="preserve"> </w:t>
            </w:r>
            <w:r w:rsidR="00D361B0">
              <w:rPr>
                <w:b/>
              </w:rPr>
              <w:t xml:space="preserve">i ostalih vrsta otpada (papir. itd.) </w:t>
            </w:r>
            <w:r w:rsidRPr="000F173F">
              <w:rPr>
                <w:b/>
              </w:rPr>
              <w:t>te se ne može utvrditi tko, što i u kojoj količini ubacuje u spremnik, nema nikakvih valjanih osnova da se korisnicima naplaćuju kazne, posebice je neprihvatljivo da se, zbog nemogućnosti utvrđivanja počinitelja prekršaja, kazna naplati ci</w:t>
            </w:r>
            <w:r>
              <w:rPr>
                <w:b/>
              </w:rPr>
              <w:t>jeloj zgradi pa i onima koji sve</w:t>
            </w:r>
            <w:r w:rsidRPr="000F173F">
              <w:rPr>
                <w:b/>
              </w:rPr>
              <w:t>jedno postupaju s otpadom. To je neprihvatljivo. Potrebno je osigurati pravilan sustav odvojenog prikupljanja koji je kontroliran, nadziran kamerama ili na drugi način te tek potom uvesti sankcije za nepropisno gospodarenje otpadom.</w:t>
            </w:r>
          </w:p>
          <w:p w:rsidR="003B3BDE" w:rsidRDefault="003B3BDE" w:rsidP="00D361B0"/>
          <w:p w:rsidR="00D361B0" w:rsidRDefault="00D361B0" w:rsidP="00D361B0"/>
          <w:p w:rsidR="00D361B0" w:rsidRPr="003055AB" w:rsidRDefault="00D361B0" w:rsidP="00D361B0">
            <w:pPr>
              <w:jc w:val="both"/>
            </w:pPr>
            <w:r>
              <w:tab/>
              <w:t>Iza stavka 1. dodaje se novi stavak 2. koji glasi:</w:t>
            </w:r>
          </w:p>
          <w:p w:rsidR="00D361B0" w:rsidRPr="003055AB" w:rsidRDefault="00D361B0" w:rsidP="00D361B0">
            <w:pPr>
              <w:jc w:val="both"/>
            </w:pPr>
            <w:r w:rsidRPr="003055AB">
              <w:t>„Korisnik usluge dužan je platiti iznos ugovorne kazne i za sljedeće postupke:</w:t>
            </w:r>
          </w:p>
          <w:p w:rsidR="00D361B0" w:rsidRPr="003055AB" w:rsidRDefault="00D361B0" w:rsidP="00D361B0">
            <w:pPr>
              <w:jc w:val="both"/>
            </w:pPr>
            <w:r w:rsidRPr="003055AB">
              <w:t>- ako ne omogući davatelju usluge označavanje spremnika kojim već raspolaže sukladno ovoj odluci, ugovorna kazna iznosi 500,00 kuna;</w:t>
            </w:r>
          </w:p>
          <w:p w:rsidR="00D361B0" w:rsidRPr="003055AB" w:rsidRDefault="00D361B0" w:rsidP="00D361B0">
            <w:pPr>
              <w:jc w:val="both"/>
            </w:pPr>
            <w:r w:rsidRPr="003055AB">
              <w:t>- ako ne postupa sa spremnikom na svom obračunskom mjestu sukladno ovoj odluci, ugovorna kazna iznosi 500,00 kuna;</w:t>
            </w:r>
          </w:p>
          <w:p w:rsidR="00D361B0" w:rsidRDefault="00D361B0" w:rsidP="00D361B0">
            <w:pPr>
              <w:jc w:val="both"/>
            </w:pPr>
            <w:r w:rsidRPr="003055AB">
              <w:t>- ako je uništio ili oštetio spremnik dodijeljen korisniku usluge za prikupljanje  miješanog komunalnog otpada i biorazgradivog komunalnog otpada, ugovorna kazna iznosi 250,00 kuna.“</w:t>
            </w:r>
            <w:r>
              <w:t>.</w:t>
            </w:r>
          </w:p>
          <w:p w:rsidR="00D361B0" w:rsidRDefault="00D361B0" w:rsidP="00D361B0">
            <w:pPr>
              <w:jc w:val="both"/>
            </w:pPr>
          </w:p>
          <w:p w:rsidR="00D361B0" w:rsidRPr="00CD7F73" w:rsidRDefault="00D361B0" w:rsidP="00D361B0">
            <w:pPr>
              <w:jc w:val="both"/>
              <w:rPr>
                <w:b/>
              </w:rPr>
            </w:pPr>
            <w:r w:rsidRPr="00CD7F73">
              <w:rPr>
                <w:b/>
              </w:rPr>
              <w:t xml:space="preserve">Kako će se znati tko je počinio kakvo nepropisno djelo sa spremnikom? </w:t>
            </w:r>
            <w:r>
              <w:rPr>
                <w:b/>
              </w:rPr>
              <w:t xml:space="preserve">Neprihvatljivo je da se građane tjera da vrše ulogu komunalnih redara. Također, budući da je većina spremnika na javnim površinama izvan zaključanih prostora, njima </w:t>
            </w:r>
            <w:proofErr w:type="spellStart"/>
            <w:r>
              <w:rPr>
                <w:b/>
              </w:rPr>
              <w:t>mođe</w:t>
            </w:r>
            <w:proofErr w:type="spellEnd"/>
            <w:r>
              <w:rPr>
                <w:b/>
              </w:rPr>
              <w:t xml:space="preserve"> pristupiti bilo tko i oštetiti ih te korisnici za to ne bi trebali snositi krivicu jer </w:t>
            </w:r>
            <w:proofErr w:type="spellStart"/>
            <w:r>
              <w:rPr>
                <w:b/>
              </w:rPr>
              <w:t>nemogu</w:t>
            </w:r>
            <w:proofErr w:type="spellEnd"/>
            <w:r>
              <w:rPr>
                <w:b/>
              </w:rPr>
              <w:t xml:space="preserve"> 0-24 nadgledati svoj spremnik. Dakle, o</w:t>
            </w:r>
            <w:r w:rsidRPr="00CD7F73">
              <w:rPr>
                <w:b/>
              </w:rPr>
              <w:t>va Odluka i njene odredbe pa tako i kazne su besmislene s obzirom da Odlukom nije propisan adekvatan sustav kontrole.</w:t>
            </w:r>
            <w:r>
              <w:rPr>
                <w:b/>
              </w:rPr>
              <w:t xml:space="preserve"> </w:t>
            </w:r>
          </w:p>
          <w:p w:rsidR="00D361B0" w:rsidRDefault="00D361B0" w:rsidP="00D361B0"/>
          <w:p w:rsidR="003B3BDE" w:rsidRDefault="003B3BDE" w:rsidP="00D361B0"/>
          <w:p w:rsidR="003B3BDE" w:rsidRPr="002D6EC9" w:rsidRDefault="003B3BDE" w:rsidP="00D361B0"/>
        </w:tc>
      </w:tr>
      <w:tr w:rsidR="003E6360" w:rsidRPr="002D6EC9" w:rsidTr="00D361B0">
        <w:trPr>
          <w:trHeight w:val="1236"/>
        </w:trPr>
        <w:tc>
          <w:tcPr>
            <w:tcW w:w="5135" w:type="dxa"/>
            <w:tcBorders>
              <w:left w:val="thickThinSmallGap" w:sz="24" w:space="0" w:color="auto"/>
            </w:tcBorders>
            <w:vAlign w:val="center"/>
          </w:tcPr>
          <w:p w:rsidR="003E6360" w:rsidRPr="002D6EC9" w:rsidRDefault="003E6360" w:rsidP="00D361B0">
            <w:r w:rsidRPr="002D6EC9">
              <w:lastRenderedPageBreak/>
              <w:t xml:space="preserve">Ime i prezime osobe (ili osoba) koja je sastavljala primjedbe </w:t>
            </w:r>
            <w:r>
              <w:t xml:space="preserve">i prijedloge </w:t>
            </w:r>
            <w:r w:rsidRPr="002D6EC9">
              <w:t xml:space="preserve">ili osobe </w:t>
            </w:r>
            <w:r>
              <w:t>koja</w:t>
            </w:r>
            <w:r w:rsidRPr="002D6EC9">
              <w:t xml:space="preserve"> </w:t>
            </w:r>
            <w:r>
              <w:t>predstavlja</w:t>
            </w:r>
            <w:r w:rsidRPr="002D6EC9">
              <w:t xml:space="preserve"> </w:t>
            </w:r>
            <w:r>
              <w:t>zainteresiranu javnost, e-mail ili drugi podaci za kontakt</w:t>
            </w:r>
          </w:p>
        </w:tc>
        <w:tc>
          <w:tcPr>
            <w:tcW w:w="5185" w:type="dxa"/>
            <w:tcBorders>
              <w:right w:val="thickThinSmallGap" w:sz="24" w:space="0" w:color="auto"/>
            </w:tcBorders>
            <w:vAlign w:val="center"/>
          </w:tcPr>
          <w:p w:rsidR="00A921AE" w:rsidRPr="002D6EC9" w:rsidRDefault="00A921AE" w:rsidP="006C0F45"/>
        </w:tc>
      </w:tr>
      <w:tr w:rsidR="003E6360" w:rsidRPr="002D6EC9" w:rsidTr="00D361B0">
        <w:trPr>
          <w:trHeight w:val="531"/>
        </w:trPr>
        <w:tc>
          <w:tcPr>
            <w:tcW w:w="5135" w:type="dxa"/>
            <w:tcBorders>
              <w:left w:val="thickThinSmallGap" w:sz="24" w:space="0" w:color="auto"/>
              <w:bottom w:val="thickThinSmallGap" w:sz="24" w:space="0" w:color="auto"/>
            </w:tcBorders>
            <w:vAlign w:val="center"/>
          </w:tcPr>
          <w:p w:rsidR="003E6360" w:rsidRPr="002D6EC9" w:rsidRDefault="003E6360" w:rsidP="00D361B0">
            <w:r w:rsidRPr="002D6EC9">
              <w:t>Datum dostavljanja</w:t>
            </w:r>
          </w:p>
        </w:tc>
        <w:tc>
          <w:tcPr>
            <w:tcW w:w="5185" w:type="dxa"/>
            <w:tcBorders>
              <w:bottom w:val="thickThinSmallGap" w:sz="24" w:space="0" w:color="auto"/>
              <w:right w:val="thickThinSmallGap" w:sz="24" w:space="0" w:color="auto"/>
            </w:tcBorders>
            <w:vAlign w:val="center"/>
          </w:tcPr>
          <w:p w:rsidR="003E6360" w:rsidRPr="002D6EC9" w:rsidRDefault="003E6360" w:rsidP="00D361B0">
            <w:bookmarkStart w:id="0" w:name="_GoBack"/>
            <w:bookmarkEnd w:id="0"/>
          </w:p>
        </w:tc>
      </w:tr>
    </w:tbl>
    <w:p w:rsidR="003E6360" w:rsidRPr="007E6F96" w:rsidRDefault="003E6360" w:rsidP="003E6360">
      <w:pPr>
        <w:jc w:val="center"/>
        <w:rPr>
          <w:b/>
        </w:rPr>
      </w:pPr>
      <w:r w:rsidRPr="007E6F96">
        <w:rPr>
          <w:b/>
        </w:rPr>
        <w:t>Važna napomena:</w:t>
      </w:r>
    </w:p>
    <w:p w:rsidR="00C41BC7" w:rsidRPr="00C41BC7" w:rsidRDefault="00C41BC7" w:rsidP="00C41BC7">
      <w:pPr>
        <w:jc w:val="center"/>
        <w:rPr>
          <w:b/>
        </w:rPr>
      </w:pPr>
      <w:r w:rsidRPr="00C41BC7">
        <w:rPr>
          <w:b/>
        </w:rPr>
        <w:t xml:space="preserve">Popunjeni obrazac dostaviti na adresu elektroničke pošte:  </w:t>
      </w:r>
      <w:hyperlink r:id="rId6" w:history="1">
        <w:r w:rsidRPr="00C41BC7">
          <w:rPr>
            <w:rStyle w:val="Hiperveza"/>
            <w:b/>
          </w:rPr>
          <w:t>savjetovanje-gospodarstvo@zagreb.hr</w:t>
        </w:r>
      </w:hyperlink>
      <w:r w:rsidRPr="00C41BC7">
        <w:rPr>
          <w:b/>
        </w:rPr>
        <w:t xml:space="preserve">  zaključno do 08. </w:t>
      </w:r>
      <w:r>
        <w:rPr>
          <w:b/>
        </w:rPr>
        <w:t>12</w:t>
      </w:r>
      <w:r w:rsidRPr="00C41BC7">
        <w:rPr>
          <w:b/>
        </w:rPr>
        <w:t>. 2019.</w:t>
      </w:r>
    </w:p>
    <w:p w:rsidR="00C41BC7" w:rsidRPr="00C41BC7" w:rsidRDefault="00C41BC7" w:rsidP="00C41BC7">
      <w:pPr>
        <w:rPr>
          <w:b/>
        </w:rPr>
      </w:pPr>
    </w:p>
    <w:p w:rsidR="00C41BC7" w:rsidRPr="00C41BC7" w:rsidRDefault="00C41BC7" w:rsidP="00C41BC7">
      <w:pPr>
        <w:rPr>
          <w:b/>
        </w:rPr>
      </w:pPr>
      <w:r w:rsidRPr="00C41BC7">
        <w:rPr>
          <w:b/>
        </w:rPr>
        <w:t>Po završetku savjetovanja, sve pristigle primjedbe/prijedlozi biti će javno dostupni na internetskoj stranici Grada Zagreba. Ukoliko ne želite da Vaši osobni podaci (ime i prezime) budu javno objavljeni, molimo da to jasno istaknete pri slanju obrasca.</w:t>
      </w:r>
    </w:p>
    <w:p w:rsidR="00C41BC7" w:rsidRPr="00C41BC7" w:rsidRDefault="00C41BC7" w:rsidP="00C41BC7">
      <w:pPr>
        <w:rPr>
          <w:b/>
        </w:rPr>
      </w:pPr>
    </w:p>
    <w:p w:rsidR="00C41BC7" w:rsidRPr="00C41BC7" w:rsidRDefault="00C41BC7" w:rsidP="00C41BC7">
      <w:pPr>
        <w:rPr>
          <w:b/>
        </w:rPr>
      </w:pPr>
      <w:r w:rsidRPr="00C41BC7">
        <w:rPr>
          <w:b/>
        </w:rPr>
        <w:t>Anonimni, uvredljivi i irelevantni komentari neće se objaviti.</w:t>
      </w:r>
    </w:p>
    <w:p w:rsidR="003E6360" w:rsidRDefault="003E6360" w:rsidP="003E6360">
      <w:pPr>
        <w:rPr>
          <w:sz w:val="22"/>
          <w:szCs w:val="22"/>
        </w:rPr>
      </w:pPr>
    </w:p>
    <w:p w:rsidR="00AB3D82" w:rsidRDefault="00AB3D82"/>
    <w:sectPr w:rsidR="00AB3D82" w:rsidSect="00D361B0">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63712"/>
    <w:multiLevelType w:val="hybridMultilevel"/>
    <w:tmpl w:val="C3482C0A"/>
    <w:lvl w:ilvl="0" w:tplc="F9607C1C">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F0"/>
    <w:rsid w:val="0004175E"/>
    <w:rsid w:val="00042BFA"/>
    <w:rsid w:val="00064FB6"/>
    <w:rsid w:val="00080019"/>
    <w:rsid w:val="000E27FA"/>
    <w:rsid w:val="000E6E2E"/>
    <w:rsid w:val="001214AA"/>
    <w:rsid w:val="00123B0F"/>
    <w:rsid w:val="001240D4"/>
    <w:rsid w:val="00130EB5"/>
    <w:rsid w:val="00140BDB"/>
    <w:rsid w:val="001960F0"/>
    <w:rsid w:val="001E3FED"/>
    <w:rsid w:val="002412E5"/>
    <w:rsid w:val="002769DB"/>
    <w:rsid w:val="003026AF"/>
    <w:rsid w:val="00325728"/>
    <w:rsid w:val="00351B8B"/>
    <w:rsid w:val="003B3BDE"/>
    <w:rsid w:val="003B4365"/>
    <w:rsid w:val="003E6360"/>
    <w:rsid w:val="0040512E"/>
    <w:rsid w:val="004C5B0F"/>
    <w:rsid w:val="00585E64"/>
    <w:rsid w:val="005B0212"/>
    <w:rsid w:val="005F46AE"/>
    <w:rsid w:val="00606AB9"/>
    <w:rsid w:val="0061359D"/>
    <w:rsid w:val="006C0F45"/>
    <w:rsid w:val="00704176"/>
    <w:rsid w:val="00707AC6"/>
    <w:rsid w:val="00794534"/>
    <w:rsid w:val="00807837"/>
    <w:rsid w:val="008123C4"/>
    <w:rsid w:val="008E212A"/>
    <w:rsid w:val="00922D5F"/>
    <w:rsid w:val="009322CE"/>
    <w:rsid w:val="00954470"/>
    <w:rsid w:val="00984E62"/>
    <w:rsid w:val="009943B8"/>
    <w:rsid w:val="009D162B"/>
    <w:rsid w:val="009F6F4D"/>
    <w:rsid w:val="00A14692"/>
    <w:rsid w:val="00A36BC3"/>
    <w:rsid w:val="00A5026B"/>
    <w:rsid w:val="00A773B0"/>
    <w:rsid w:val="00A921AE"/>
    <w:rsid w:val="00AB3D82"/>
    <w:rsid w:val="00B02C1D"/>
    <w:rsid w:val="00B036B7"/>
    <w:rsid w:val="00B13D8A"/>
    <w:rsid w:val="00B92074"/>
    <w:rsid w:val="00BB230A"/>
    <w:rsid w:val="00BB6354"/>
    <w:rsid w:val="00BB7EAA"/>
    <w:rsid w:val="00BD087E"/>
    <w:rsid w:val="00BE2868"/>
    <w:rsid w:val="00C41BC7"/>
    <w:rsid w:val="00C6302D"/>
    <w:rsid w:val="00D20102"/>
    <w:rsid w:val="00D361B0"/>
    <w:rsid w:val="00DA697C"/>
    <w:rsid w:val="00DB1E84"/>
    <w:rsid w:val="00DE6E38"/>
    <w:rsid w:val="00E3424D"/>
    <w:rsid w:val="00E96290"/>
    <w:rsid w:val="00EB2845"/>
    <w:rsid w:val="00EE1929"/>
    <w:rsid w:val="00F1186B"/>
    <w:rsid w:val="00F23E5E"/>
    <w:rsid w:val="00F825C2"/>
    <w:rsid w:val="00FB26B3"/>
    <w:rsid w:val="00FC2DD3"/>
    <w:rsid w:val="00FD6C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D000"/>
  <w15:docId w15:val="{9E30AE26-DAB7-4DCB-80E4-69362E79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36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E6360"/>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Tekstfusnote">
    <w:name w:val="footnote text"/>
    <w:basedOn w:val="Normal"/>
    <w:link w:val="TekstfusnoteChar"/>
    <w:unhideWhenUsed/>
    <w:rsid w:val="003E6360"/>
    <w:pPr>
      <w:spacing w:after="200" w:line="276" w:lineRule="auto"/>
    </w:pPr>
    <w:rPr>
      <w:rFonts w:ascii="Calibri" w:eastAsia="Calibri" w:hAnsi="Calibri"/>
      <w:sz w:val="20"/>
      <w:szCs w:val="20"/>
      <w:lang w:eastAsia="en-US"/>
    </w:rPr>
  </w:style>
  <w:style w:type="character" w:customStyle="1" w:styleId="TekstfusnoteChar">
    <w:name w:val="Tekst fusnote Char"/>
    <w:basedOn w:val="Zadanifontodlomka"/>
    <w:link w:val="Tekstfusnote"/>
    <w:rsid w:val="003E6360"/>
    <w:rPr>
      <w:rFonts w:ascii="Calibri" w:eastAsia="Calibri" w:hAnsi="Calibri" w:cs="Times New Roman"/>
      <w:sz w:val="20"/>
      <w:szCs w:val="20"/>
    </w:rPr>
  </w:style>
  <w:style w:type="paragraph" w:styleId="Odlomakpopisa">
    <w:name w:val="List Paragraph"/>
    <w:basedOn w:val="Normal"/>
    <w:uiPriority w:val="34"/>
    <w:qFormat/>
    <w:rsid w:val="00794534"/>
    <w:pPr>
      <w:ind w:left="720"/>
    </w:pPr>
    <w:rPr>
      <w:rFonts w:ascii="Calibri" w:eastAsiaTheme="minorHAnsi" w:hAnsi="Calibri"/>
      <w:sz w:val="22"/>
      <w:szCs w:val="22"/>
      <w:lang w:eastAsia="en-US"/>
    </w:rPr>
  </w:style>
  <w:style w:type="paragraph" w:styleId="StandardWeb">
    <w:name w:val="Normal (Web)"/>
    <w:basedOn w:val="Normal"/>
    <w:uiPriority w:val="99"/>
    <w:unhideWhenUsed/>
    <w:rsid w:val="0004175E"/>
    <w:pPr>
      <w:spacing w:before="100" w:beforeAutospacing="1" w:after="100" w:afterAutospacing="1"/>
    </w:pPr>
  </w:style>
  <w:style w:type="paragraph" w:customStyle="1" w:styleId="t-9-8">
    <w:name w:val="t-9-8"/>
    <w:basedOn w:val="Normal"/>
    <w:rsid w:val="0004175E"/>
    <w:pPr>
      <w:spacing w:before="100" w:beforeAutospacing="1" w:after="100" w:afterAutospacing="1"/>
    </w:pPr>
  </w:style>
  <w:style w:type="character" w:styleId="Hiperveza">
    <w:name w:val="Hyperlink"/>
    <w:rsid w:val="00EB2845"/>
    <w:rPr>
      <w:color w:val="0000FF"/>
      <w:u w:val="single"/>
    </w:rPr>
  </w:style>
  <w:style w:type="paragraph" w:customStyle="1" w:styleId="box461283">
    <w:name w:val="box_461283"/>
    <w:basedOn w:val="Normal"/>
    <w:rsid w:val="003B3B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20622">
      <w:bodyDiv w:val="1"/>
      <w:marLeft w:val="0"/>
      <w:marRight w:val="0"/>
      <w:marTop w:val="0"/>
      <w:marBottom w:val="0"/>
      <w:divBdr>
        <w:top w:val="none" w:sz="0" w:space="0" w:color="auto"/>
        <w:left w:val="none" w:sz="0" w:space="0" w:color="auto"/>
        <w:bottom w:val="none" w:sz="0" w:space="0" w:color="auto"/>
        <w:right w:val="none" w:sz="0" w:space="0" w:color="auto"/>
      </w:divBdr>
    </w:div>
    <w:div w:id="13505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jetovanje-gospodarstvo@zagreb.hr" TargetMode="External"/><Relationship Id="rId5" Type="http://schemas.openxmlformats.org/officeDocument/2006/relationships/hyperlink" Target="https://www.24sata.hr/news/uredba-je-korak-unatrag-na-sudu-ruse-skuplji-odvoz-smeca-6590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2732</Words>
  <Characters>15574</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Šoufek</dc:creator>
  <cp:lastModifiedBy>Marko Kosak</cp:lastModifiedBy>
  <cp:revision>2</cp:revision>
  <cp:lastPrinted>2017-11-08T12:54:00Z</cp:lastPrinted>
  <dcterms:created xsi:type="dcterms:W3CDTF">2019-12-06T14:03:00Z</dcterms:created>
  <dcterms:modified xsi:type="dcterms:W3CDTF">2019-12-06T14:03:00Z</dcterms:modified>
</cp:coreProperties>
</file>